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DF9" w:rsidRPr="00C153E3" w:rsidRDefault="00326DF9" w:rsidP="00326D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26DF9" w:rsidRPr="00C153E3" w:rsidRDefault="00326DF9" w:rsidP="00326D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26DF9" w:rsidRPr="00114F54" w:rsidRDefault="00326DF9" w:rsidP="00326D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VIII Sesji  w dniu 23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26DF9" w:rsidRDefault="00326DF9" w:rsidP="00326D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26DF9" w:rsidRPr="00326DF9" w:rsidRDefault="00326DF9" w:rsidP="00326DF9">
      <w:pPr>
        <w:spacing w:after="0" w:line="240" w:lineRule="auto"/>
        <w:ind w:firstLine="0"/>
        <w:jc w:val="center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326DF9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326DF9">
        <w:rPr>
          <w:rFonts w:ascii="Times New Roman" w:hAnsi="Times New Roman" w:cs="Times New Roman"/>
          <w:bCs/>
          <w:sz w:val="24"/>
          <w:szCs w:val="24"/>
          <w:lang w:val="pl-PL"/>
        </w:rPr>
        <w:t>wyboru metody ustalenia opłaty za gospodarowanie odpadami komunalnymi, ustalenia stawki   takiej opłaty oraz ustalenia stawki opłaty za pojemnik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                         </w:t>
      </w:r>
      <w:r w:rsidRPr="00326DF9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o określonej pojemności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26DF9" w:rsidTr="009129C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26DF9" w:rsidTr="009129C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26DF9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26DF9" w:rsidTr="009129C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DF9" w:rsidRDefault="00326DF9" w:rsidP="009129C6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26DF9" w:rsidRDefault="00326DF9" w:rsidP="009129C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26DF9" w:rsidRDefault="00326DF9" w:rsidP="00326D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26DF9" w:rsidRDefault="00326DF9" w:rsidP="00326D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</w:p>
    <w:p w:rsidR="00326DF9" w:rsidRDefault="00326DF9" w:rsidP="00326D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26DF9" w:rsidRPr="00326DF9" w:rsidRDefault="00326DF9" w:rsidP="00326DF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26DF9" w:rsidRDefault="00326DF9" w:rsidP="00326DF9"/>
    <w:p w:rsidR="001B2335" w:rsidRDefault="001B2335" w:rsidP="00326DF9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6DF9"/>
    <w:rsid w:val="00092C7B"/>
    <w:rsid w:val="001B2335"/>
    <w:rsid w:val="00326DF9"/>
    <w:rsid w:val="008D7832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F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26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1028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2019-07-23T11:51:00Z</dcterms:created>
  <dcterms:modified xsi:type="dcterms:W3CDTF">2019-07-23T11:53:00Z</dcterms:modified>
</cp:coreProperties>
</file>