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BC3" w:rsidRPr="00C153E3" w:rsidRDefault="00355BC3" w:rsidP="00355B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55BC3" w:rsidRPr="00C153E3" w:rsidRDefault="00355BC3" w:rsidP="00355B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55BC3" w:rsidRPr="00C153E3" w:rsidRDefault="00355BC3" w:rsidP="00355B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XIII Sesji z dnia 21 maja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55BC3" w:rsidRPr="00355BC3" w:rsidRDefault="00355BC3" w:rsidP="00355BC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55BC3" w:rsidRPr="00355BC3" w:rsidRDefault="00355BC3" w:rsidP="00355BC3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355BC3">
        <w:rPr>
          <w:rFonts w:ascii="Times New Roman" w:hAnsi="Times New Roman" w:cs="Times New Roman"/>
          <w:sz w:val="24"/>
          <w:szCs w:val="24"/>
          <w:lang w:val="pl-PL"/>
        </w:rPr>
        <w:t>Uchwała w sprawie zmian w Wieloletniej Prognozie Finansowej Gminy Młynarze na lata 2020-2023</w:t>
      </w:r>
    </w:p>
    <w:p w:rsidR="00355BC3" w:rsidRDefault="00355BC3" w:rsidP="00355BC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55BC3" w:rsidTr="00426D9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55BC3" w:rsidTr="00426D97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55BC3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5BC3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5BC3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4030C8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5BC3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5BC3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5BC3" w:rsidTr="00426D97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5BC3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5BC3" w:rsidTr="00426D97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5BC3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5BC3" w:rsidTr="00426D97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5BC3" w:rsidTr="00426D9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5BC3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5BC3" w:rsidTr="00426D97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5BC3" w:rsidTr="00426D97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55BC3" w:rsidTr="00426D97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355BC3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BC3" w:rsidRDefault="00355BC3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55BC3" w:rsidRDefault="00355BC3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55BC3" w:rsidRDefault="00355BC3" w:rsidP="00355BC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55BC3" w:rsidRDefault="00355BC3" w:rsidP="00355B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355BC3" w:rsidRDefault="00355BC3" w:rsidP="00355BC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55BC3" w:rsidRPr="005225E9" w:rsidRDefault="00355BC3" w:rsidP="00355BC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55BC3" w:rsidRDefault="00355BC3" w:rsidP="00355BC3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55BC3"/>
    <w:rsid w:val="00042706"/>
    <w:rsid w:val="001B2335"/>
    <w:rsid w:val="00355BC3"/>
    <w:rsid w:val="00401F85"/>
    <w:rsid w:val="004030C8"/>
    <w:rsid w:val="008D7832"/>
    <w:rsid w:val="0091672E"/>
    <w:rsid w:val="00AD2DBF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BC3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355B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923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2020-05-20T13:29:00Z</dcterms:created>
  <dcterms:modified xsi:type="dcterms:W3CDTF">2020-05-20T13:38:00Z</dcterms:modified>
</cp:coreProperties>
</file>