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92B" w:rsidRDefault="000059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00592B" w:rsidRDefault="000059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00592B" w:rsidRDefault="000059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00592B" w:rsidRDefault="000059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00592B" w:rsidRDefault="0000592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6"/>
        </w:rPr>
      </w:pPr>
    </w:p>
    <w:p w:rsidR="0000592B" w:rsidRDefault="00EE52F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6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</w:rPr>
        <w:t>RAPORT</w:t>
      </w:r>
    </w:p>
    <w:p w:rsidR="0000592B" w:rsidRDefault="00EE52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</w:rPr>
        <w:t>O STANIE GMINY</w:t>
      </w:r>
    </w:p>
    <w:p w:rsidR="0000592B" w:rsidRDefault="00EE52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</w:rPr>
        <w:t>MŁYNARZE</w:t>
      </w:r>
    </w:p>
    <w:p w:rsidR="0000592B" w:rsidRDefault="000059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00592B" w:rsidRDefault="000059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00592B" w:rsidRDefault="00EE52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object w:dxaOrig="3761" w:dyaOrig="3935">
          <v:rect id="rectole0000000000" o:spid="_x0000_i1025" style="width:188.25pt;height:197.25pt" o:ole="" o:preferrelative="t" stroked="f">
            <v:imagedata r:id="rId6" o:title=""/>
          </v:rect>
          <o:OLEObject Type="Embed" ProgID="StaticMetafile" ShapeID="rectole0000000000" DrawAspect="Content" ObjectID="_1652259022" r:id="rId7"/>
        </w:object>
      </w:r>
    </w:p>
    <w:p w:rsidR="0000592B" w:rsidRDefault="000059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00592B" w:rsidRDefault="0000592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6"/>
        </w:rPr>
      </w:pPr>
    </w:p>
    <w:p w:rsidR="0000592B" w:rsidRDefault="00EE52F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>za 2019 rok</w:t>
      </w:r>
    </w:p>
    <w:p w:rsidR="0000592B" w:rsidRDefault="0000592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00592B" w:rsidRDefault="0000592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00592B" w:rsidRDefault="0000592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00592B" w:rsidRDefault="0000592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00592B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</w:p>
    <w:p w:rsidR="0000592B" w:rsidRDefault="0000592B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</w:p>
    <w:p w:rsidR="0000592B" w:rsidRDefault="0000592B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</w:p>
    <w:p w:rsidR="0000592B" w:rsidRDefault="0000592B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</w:p>
    <w:p w:rsidR="0000592B" w:rsidRDefault="00EE52F3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lastRenderedPageBreak/>
        <w:t>I. WSTĘP</w:t>
      </w:r>
    </w:p>
    <w:p w:rsidR="0000592B" w:rsidRDefault="0000592B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</w:p>
    <w:p w:rsidR="0000592B" w:rsidRDefault="00EE52F3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Obowiązek sporządzenia raportu o stanie gminy wynika z art. 28aa ustawy o samorządzie gminnym. Raport obejmuje podsumowanie działalności Wójta Gminy  Młynarze w roku 2019.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  <w:i/>
          <w:u w:val="single"/>
        </w:rPr>
        <w:t>II. INFORMACJE OGÓLNE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Charakterystyka gminy Młynarze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Gmina Młynarze jest jedną z najmniejszych i najmłodsz</w:t>
      </w:r>
      <w:r>
        <w:rPr>
          <w:rFonts w:ascii="Times New Roman" w:eastAsia="Times New Roman" w:hAnsi="Times New Roman" w:cs="Times New Roman"/>
          <w:b/>
        </w:rPr>
        <w:t>y</w:t>
      </w:r>
      <w:r>
        <w:rPr>
          <w:rFonts w:ascii="Times New Roman" w:eastAsia="Times New Roman" w:hAnsi="Times New Roman" w:cs="Times New Roman"/>
        </w:rPr>
        <w:t>ch gmin na Mazowszu.                  Utworzono ją w 1992 roku z inicjatywy Społecznego Komitetu Utworzenia Gminy.  Obszar gminy leży w północno – środkowej części województwa mazowieckiego, w powiecie makowskim. Sąsiaduje z gminami: Sypniewo, Czerwonka, Różan i Olszewo Borki.  Rzeka Narew stanowi jej naturalną południowo - wschodnią granicę z gminą Goworowo i Rzekuń.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object w:dxaOrig="8605" w:dyaOrig="6550">
          <v:rect id="rectole0000000001" o:spid="_x0000_i1026" style="width:430.5pt;height:328.5pt" o:ole="" o:preferrelative="t" stroked="f">
            <v:imagedata r:id="rId8" o:title=""/>
          </v:rect>
          <o:OLEObject Type="Embed" ProgID="StaticMetafile" ShapeID="rectole0000000001" DrawAspect="Content" ObjectID="_1652259023" r:id="rId9"/>
        </w:objec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Gmina ma charakter typowo rolniczy, zajmuje powierzchnię 75,04 km².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Lasy stanowią ponad 30 % . Podzielona jest na 15 sołectw, obejmujących  17 miejscowości: Długołęka Koski, Długołęka Wielka, Gierwaty, Głażewo Cholewy i Głażewo Święszki, Kołaki </w:t>
      </w:r>
      <w:r>
        <w:rPr>
          <w:rFonts w:ascii="Times New Roman" w:eastAsia="Times New Roman" w:hAnsi="Times New Roman" w:cs="Times New Roman"/>
        </w:rPr>
        <w:lastRenderedPageBreak/>
        <w:t>Młynarze, Modzele, Ochenki, Ogony, Rupin, Sadykierz, Sieluń, Strzemieczne Oleksy, Strzemieczne Wiosny, Strzemieczne Hieronimy,  Załęże Ponikiewka.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Siedzibą władz gminnych jest miejscowość Młynarze, leżąca nad rzeką Róż, przy drodze krajowej  nr 61 z Warszawy na Pojezierze Mazurskie i Suwalskie i dalej na Litwę.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Młynarze są centrum administracyjnym i usługowym dla  wszystkich mieszkańców gminy.                                 Tu znajdują się  następujące urzędy, instytucje oświatowe, instytucje kultury oraz firmy usługowo handlowe: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Urząd Gminy, Publiczna Szkoła Podstawowa z Publicznym Przedszkolem, Publiczne Gimnazjum, Gminny Ośrodek Pomocy Społecznej, Gminna Biblioteka Publiczna, ośrodek zdrowia, poczta, punkt kasowy BS Różan, firma BIO PAL, zakład mechaniki samochodowej   i wulkanizacji, Rado - Auto -Serwis, zakład przetwórstwa drzewnego P.P.H.U. Trans - Wood s.c.  i </w:t>
      </w:r>
      <w:proofErr w:type="spellStart"/>
      <w:r>
        <w:rPr>
          <w:rFonts w:ascii="Times New Roman" w:eastAsia="Times New Roman" w:hAnsi="Times New Roman" w:cs="Times New Roman"/>
        </w:rPr>
        <w:t>Centropal</w:t>
      </w:r>
      <w:proofErr w:type="spellEnd"/>
      <w:r>
        <w:rPr>
          <w:rFonts w:ascii="Times New Roman" w:eastAsia="Times New Roman" w:hAnsi="Times New Roman" w:cs="Times New Roman"/>
        </w:rPr>
        <w:t>, 2 sklepy wielobranżowe, sklep budowlany, restauracja „Braterska”.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Poza tym w innych miejscowościach funkcjonują większe  firmy: P.P.U.H. Eliot,  Grill IMPEX, Marek Ogonowski H.T.U. i inne firmy związane z przetwórstwem drewna, usługami remontowo -budowlanymi oraz transportem.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terenie Gminy działają 4 jednostki OSP z wieloletnią tradycją.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Od 2012 roku Gmina Młynarze ma herb, flagę i pieczęć, nawiązujące do naszej historii.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Walory Przyrodnicze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Część terenu gminy znajduje się w sieci Natura 2000 co stanowi 22 % powierzchni gminy.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Dogodne połączenie komunikacyjne i drogowe, jak również walory środowiska przyrodniczego: czyste powietrze, obecność lasów oraz urokliwe zakątki Narwi i jej pozostałości starorzeczy tj. jeziora: </w:t>
      </w:r>
      <w:proofErr w:type="spellStart"/>
      <w:r>
        <w:rPr>
          <w:rFonts w:ascii="Times New Roman" w:eastAsia="Times New Roman" w:hAnsi="Times New Roman" w:cs="Times New Roman"/>
        </w:rPr>
        <w:t>Sadykierskie</w:t>
      </w:r>
      <w:proofErr w:type="spellEnd"/>
      <w:r>
        <w:rPr>
          <w:rFonts w:ascii="Times New Roman" w:eastAsia="Times New Roman" w:hAnsi="Times New Roman" w:cs="Times New Roman"/>
        </w:rPr>
        <w:t xml:space="preserve">, Ogonowskie i </w:t>
      </w:r>
      <w:proofErr w:type="spellStart"/>
      <w:r>
        <w:rPr>
          <w:rFonts w:ascii="Times New Roman" w:eastAsia="Times New Roman" w:hAnsi="Times New Roman" w:cs="Times New Roman"/>
        </w:rPr>
        <w:t>Sieluńskie</w:t>
      </w:r>
      <w:proofErr w:type="spellEnd"/>
      <w:r>
        <w:rPr>
          <w:rFonts w:ascii="Times New Roman" w:eastAsia="Times New Roman" w:hAnsi="Times New Roman" w:cs="Times New Roman"/>
        </w:rPr>
        <w:t>, sprzyjają rozwojowi turystyki pobytowej, zwłaszcza w okresie letnim. Mieszkańcy naszej gminy słyną z gościnności i życzliwości. Niepowtarzalne walory przyrodnicze, czyste powietrze zachwycają bogactwem świata roślinnego i zwierzęcego, czynią gminę szczególnie atrakcyjną dla turystów. Można tu uprawiać wycieczki piesze, rowerowe, zbierać grzyby i owoce  runa leśnego, a w rzece Narew i jej starorzeczach łowić ryby.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Od lat na terenie Gminy Młynarze rozwija się budownictwo letniskowe w miejscowościach: Ogony, Modzele, Kołaki, Sadykierz i Młynarze. W przyszłości, po rozbudowie infrastruktury turystycznej i rekreacyjnej oraz odpowiedniej promocji możliwym będzie zachęcenie turystów do systematycznego odwiedzania naszej gminy w ramach turystyki pobytowej i kwalifikowanej. Tereny nadnarwiańskie łączące wsie: Sieluń, Młynarze, Ogony, Modzele, Sadykierz i Kołaki stwarzają możliwości do prowadzenia szlaków turystyki rowerowej i konnej.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Od kilku lat w Urzędzie Gminy i w Gminnej Bibliotece Publicznej wprowadzono bezpłatny dostęp do Internetu dla mieszkańców naszej gminy (i nie tylko) oraz korzystanie z innych urządzeń komunikacji społecznej.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Gmina wyposażona jest w podstawową infrastrukturę niezbędną do funkcjonowania mieszkańców : sieć wodociągową, telefoniczną i komunikacyjną oraz dobry stan dróg lokalnych.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okresie letnim gmina organizuje  festyny rodzinne z wieloma atrakcjami zwłaszcza dla najmłodszych.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Miłośnicy książek mogą korzystać z atrakcyjnych zbiorów w Gminnej Bibliotece Publicznej w Młynarzach zawierających m.in. materiały regionalne tekstowe, stare fotografie i inne. Biblioteka jako jedyna instytucja kultury jest współorganizatorem różnych form pracy kulturalnej min. wystaw, konkursów, imprez bibl</w:t>
      </w:r>
      <w:r w:rsidR="004D2AA6">
        <w:rPr>
          <w:rFonts w:ascii="Times New Roman" w:eastAsia="Times New Roman" w:hAnsi="Times New Roman" w:cs="Times New Roman"/>
        </w:rPr>
        <w:t>iotecznych</w:t>
      </w:r>
      <w:r>
        <w:rPr>
          <w:rFonts w:ascii="Times New Roman" w:eastAsia="Times New Roman" w:hAnsi="Times New Roman" w:cs="Times New Roman"/>
        </w:rPr>
        <w:t xml:space="preserve"> dla dziec</w:t>
      </w:r>
      <w:r w:rsidR="004D2AA6">
        <w:rPr>
          <w:rFonts w:ascii="Times New Roman" w:eastAsia="Times New Roman" w:hAnsi="Times New Roman" w:cs="Times New Roman"/>
        </w:rPr>
        <w:t>i i młodzieży, spotkań autorskich</w:t>
      </w:r>
      <w:r>
        <w:rPr>
          <w:rFonts w:ascii="Times New Roman" w:eastAsia="Times New Roman" w:hAnsi="Times New Roman" w:cs="Times New Roman"/>
        </w:rPr>
        <w:t>, festynów.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Uczniowie Publicznej Szkoły Podstawowej i Publicznego Gimnazjum co roku prezentują programy artystyczne podczas obchodów, rocznic i świąt państwowych, gminnych oraz kościelnych.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Funkcjonujący na tutejszym terenie Uczniowski Klub Sportowy „Potok” systematycznie organizuje otwarte i gminne turnieje sportowe.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</w:rPr>
        <w:t xml:space="preserve">   </w:t>
      </w:r>
      <w:r>
        <w:rPr>
          <w:rFonts w:ascii="Times New Roman" w:eastAsia="Times New Roman" w:hAnsi="Times New Roman" w:cs="Times New Roman"/>
          <w:b/>
          <w:i/>
        </w:rPr>
        <w:t xml:space="preserve">Z kart historii. Zabytki i Miejsca Pamięci Narodowej  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</w:rPr>
        <w:t xml:space="preserve">Jedynym zabytkiem w gminie jest Kościół Parafialny pw. Św. </w:t>
      </w:r>
      <w:proofErr w:type="spellStart"/>
      <w:r>
        <w:rPr>
          <w:rFonts w:ascii="Times New Roman" w:eastAsia="Times New Roman" w:hAnsi="Times New Roman" w:cs="Times New Roman"/>
        </w:rPr>
        <w:t>Stanislawa</w:t>
      </w:r>
      <w:proofErr w:type="spellEnd"/>
      <w:r>
        <w:rPr>
          <w:rFonts w:ascii="Times New Roman" w:eastAsia="Times New Roman" w:hAnsi="Times New Roman" w:cs="Times New Roman"/>
        </w:rPr>
        <w:t xml:space="preserve"> Biskupa                                   i Męczennika w miejscowości Sieluń.</w:t>
      </w:r>
    </w:p>
    <w:p w:rsidR="0000592B" w:rsidRDefault="004D2AA6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Sieluń</w:t>
      </w:r>
      <w:r w:rsidR="00EE52F3">
        <w:rPr>
          <w:rFonts w:ascii="Times New Roman" w:eastAsia="Times New Roman" w:hAnsi="Times New Roman" w:cs="Times New Roman"/>
        </w:rPr>
        <w:t xml:space="preserve"> ma ponad 600 letnią historię. W XIII w. stanowił centralny ośrodek dóbr kościelnych, należących do uposażenia biskupstwa płockiego. Dobra te nazywano „ Księstwem </w:t>
      </w:r>
      <w:proofErr w:type="spellStart"/>
      <w:r w:rsidR="00EE52F3">
        <w:rPr>
          <w:rFonts w:ascii="Times New Roman" w:eastAsia="Times New Roman" w:hAnsi="Times New Roman" w:cs="Times New Roman"/>
        </w:rPr>
        <w:t>Sieluńskim</w:t>
      </w:r>
      <w:proofErr w:type="spellEnd"/>
      <w:r w:rsidR="00EE52F3">
        <w:rPr>
          <w:rFonts w:ascii="Times New Roman" w:eastAsia="Times New Roman" w:hAnsi="Times New Roman" w:cs="Times New Roman"/>
        </w:rPr>
        <w:t>”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Historia Sielunia splata się w jedną całość z dziejami </w:t>
      </w:r>
      <w:proofErr w:type="spellStart"/>
      <w:r>
        <w:rPr>
          <w:rFonts w:ascii="Times New Roman" w:eastAsia="Times New Roman" w:hAnsi="Times New Roman" w:cs="Times New Roman"/>
        </w:rPr>
        <w:t>Młynarzy.</w:t>
      </w:r>
      <w:r w:rsidR="004D2AA6">
        <w:rPr>
          <w:rFonts w:ascii="Times New Roman" w:eastAsia="Times New Roman" w:hAnsi="Times New Roman" w:cs="Times New Roman"/>
        </w:rPr>
        <w:t>Młynarze</w:t>
      </w:r>
      <w:proofErr w:type="spellEnd"/>
      <w:r w:rsidR="004D2AA6">
        <w:rPr>
          <w:rFonts w:ascii="Times New Roman" w:eastAsia="Times New Roman" w:hAnsi="Times New Roman" w:cs="Times New Roman"/>
        </w:rPr>
        <w:t xml:space="preserve"> jest największą miejscowością w gminie.</w:t>
      </w:r>
      <w:r>
        <w:rPr>
          <w:rFonts w:ascii="Times New Roman" w:eastAsia="Times New Roman" w:hAnsi="Times New Roman" w:cs="Times New Roman"/>
        </w:rPr>
        <w:t xml:space="preserve"> Nazwa Młynarze pochodzi od wzniesionych 3 młynów w okolicznych wsiach i samej miejscowości położonej nad rzeką Róż.  Miejscowa legenda głosi, że założycielem miejscowości był rycerz Grzymała, który dostał te tereny za zasługi wojenne. Najstarszy dokument, w którym jest mowa o wsi Grzymały Młynarze pochodzi  z 1609 r. Wymieniona jest ona wśród miejscowości należących do parafii Sieluń. Po II wojnie światowej do 1954 r. Młynarze należały do gminy Sieluń i były siedzibą gminnej administracji. Młynarze zaistniały również w okresie  Powstania Listopadowego. Dnia 15 lipca 1831 roku miała tu miejsce zwycięska potyczka  5 pułku Ułanów Zamoyskich, która została uwieczniona w 1890 r.  przez znanego malarza Wojciecha Kossaka na obrazie pt. </w:t>
      </w:r>
      <w:r w:rsidR="004D2AA6">
        <w:rPr>
          <w:rFonts w:ascii="Times New Roman" w:eastAsia="Times New Roman" w:hAnsi="Times New Roman" w:cs="Times New Roman"/>
        </w:rPr>
        <w:t>„</w:t>
      </w:r>
      <w:r>
        <w:rPr>
          <w:rFonts w:ascii="Times New Roman" w:eastAsia="Times New Roman" w:hAnsi="Times New Roman" w:cs="Times New Roman"/>
        </w:rPr>
        <w:t>Bitwa pod Młynarzami</w:t>
      </w:r>
      <w:r w:rsidR="004D2AA6">
        <w:rPr>
          <w:rFonts w:ascii="Times New Roman" w:eastAsia="Times New Roman" w:hAnsi="Times New Roman" w:cs="Times New Roman"/>
        </w:rPr>
        <w:t>”</w:t>
      </w:r>
      <w:r>
        <w:rPr>
          <w:rFonts w:ascii="Times New Roman" w:eastAsia="Times New Roman" w:hAnsi="Times New Roman" w:cs="Times New Roman"/>
        </w:rPr>
        <w:t>. W 165 rocznicę tej bitwy przed budynkiem szkoły w Młynarzach odsłonięto pomnik upamiętniający to wydarzenie, ufundowany przez kombatantów AK, władze gminne i mieszkańców.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II wojna światowa od samego początku zapisała się krwawo dla mieszkańców gminy. Na parafialnym cmentarzu znajdują się mogiły pierwszych ofiar hitleryzmu.: rozstrzelanych w miejscu określanym potocznie jako „Wysoki Dział” mieszkańców okolicznych wsi oraz lotników z załogi samolotu” Karaś” 41 Eskadry Rozpoznawczej Armii Modlin, którzy oddali życie w obronie naszych terenów podczas bojowego lotu nad wsią Modzele.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lastRenderedPageBreak/>
        <w:tab/>
        <w:t>Zaprezentowane informacje o naszej gminie mogą posłużyć nawiązaniu trwałych kontaktów  i korzystnej współpracy oraz stanowić zachętę do odwiedzenia choć raz naszej gminy jak też pobytów okresowych, a nawet stałych.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Demografia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Gminę Młynarze zamieszkuje 1745 mieszkańców, w tym 917 mężczyzn i 828 kobiet.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STATYSTYKA MIESZKAŃCÓW WEDŁUG WIEKU I PŁCI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2265"/>
        <w:gridCol w:w="2265"/>
        <w:gridCol w:w="2266"/>
        <w:gridCol w:w="2266"/>
      </w:tblGrid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Wiek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Mężczyzn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Kobiet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Ogółem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0-2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67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24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4-5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34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22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23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8-12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98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13-15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62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16-17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40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19-65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620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620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19-60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438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438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&gt;65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105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&gt;60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199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199</w:t>
            </w:r>
          </w:p>
        </w:tc>
      </w:tr>
      <w:tr w:rsidR="0000592B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ogółem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917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828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1745</w:t>
            </w:r>
          </w:p>
        </w:tc>
      </w:tr>
    </w:tbl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roku 2019 urodziło się 22 </w:t>
      </w:r>
      <w:proofErr w:type="spellStart"/>
      <w:r>
        <w:rPr>
          <w:rFonts w:ascii="Times New Roman" w:eastAsia="Times New Roman" w:hAnsi="Times New Roman" w:cs="Times New Roman"/>
        </w:rPr>
        <w:t>osób</w:t>
      </w:r>
      <w:r w:rsidR="004D2AA6">
        <w:rPr>
          <w:rFonts w:ascii="Times New Roman" w:eastAsia="Times New Roman" w:hAnsi="Times New Roman" w:cs="Times New Roman"/>
        </w:rPr>
        <w:t>y</w:t>
      </w:r>
      <w:proofErr w:type="spellEnd"/>
      <w:r w:rsidR="004D2AA6">
        <w:rPr>
          <w:rFonts w:ascii="Times New Roman" w:eastAsia="Times New Roman" w:hAnsi="Times New Roman" w:cs="Times New Roman"/>
        </w:rPr>
        <w:t>, natomiast zmarło 18 osób</w:t>
      </w:r>
      <w:r>
        <w:rPr>
          <w:rFonts w:ascii="Times New Roman" w:eastAsia="Times New Roman" w:hAnsi="Times New Roman" w:cs="Times New Roman"/>
        </w:rPr>
        <w:t>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LICZBA  LUDNOŚCI  W PODZIALE  NA  POSZCZEGÓLNE  SOŁECTWA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534"/>
        <w:gridCol w:w="4520"/>
        <w:gridCol w:w="4126"/>
      </w:tblGrid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LP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Sołectwo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Liczba mieszkańców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Długołęka-Koski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Długołęka Wielka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85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Gierwaty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88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Głażewo-Cholewy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Głażewo-Święszki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144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Kołaki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113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Młynarze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272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Modzele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48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Ochenki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35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Ogony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148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Rupin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103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Sadykierz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162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Sieluń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255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Strzemieczne-Oleksy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129</w:t>
            </w:r>
          </w:p>
        </w:tc>
      </w:tr>
      <w:tr w:rsidR="0000592B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Załęże-Ponikiewka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42</w:t>
            </w:r>
          </w:p>
        </w:tc>
      </w:tr>
    </w:tbl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BB3C68" w:rsidRPr="00FB6CFA" w:rsidRDefault="00BB3C68" w:rsidP="00BB3C68">
      <w:pPr>
        <w:pStyle w:val="Standard"/>
        <w:spacing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Na początku 2019 roku na terenie gminy było 111 osób zarejestrowanych w Powiatowym Urzędzie Pracy jako bezrobotni w tym 53 kobiet. Z prawem do zasiłku 19 osób,</w:t>
      </w:r>
    </w:p>
    <w:p w:rsidR="00BB3C68" w:rsidRPr="00FB6CFA" w:rsidRDefault="00BB3C68" w:rsidP="00BB3C68">
      <w:pPr>
        <w:pStyle w:val="Standard"/>
        <w:spacing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w tym 8 kobiet. Do 30 roku życia było zarejestrowanych 45 osób. Długotrwale bezrobotni 68 osób (powyżej 1 roku), powyżej 50 roku życia 15 osób.</w:t>
      </w:r>
    </w:p>
    <w:p w:rsidR="00BB3C68" w:rsidRPr="00FB6CFA" w:rsidRDefault="00BB3C68" w:rsidP="00BB3C68">
      <w:pPr>
        <w:pStyle w:val="Standard"/>
        <w:spacing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Na koniec 2019 roku zarejestrowanych w Powiato</w:t>
      </w:r>
      <w:r w:rsidR="004D2AA6">
        <w:rPr>
          <w:rFonts w:ascii="Times New Roman" w:eastAsia="Times New Roman" w:hAnsi="Times New Roman" w:cs="Times New Roman"/>
        </w:rPr>
        <w:t>wym Urzędzie Pracy było 97 osób</w:t>
      </w:r>
      <w:r w:rsidRPr="00FB6CFA">
        <w:rPr>
          <w:rFonts w:ascii="Times New Roman" w:eastAsia="Times New Roman" w:hAnsi="Times New Roman" w:cs="Times New Roman"/>
        </w:rPr>
        <w:t xml:space="preserve"> w tym 43 kobiet, z prawem do zasiłku 12 osób, w tym 6 kobiet. Do 30 roku życia zarejestrowanych było 40 osób, powyżej 50 roku życia 16 osób. Długotrwale bezrobotni 60 osób.</w:t>
      </w:r>
    </w:p>
    <w:p w:rsidR="0000592B" w:rsidRPr="00244227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FF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  <w:i/>
          <w:u w:val="single"/>
        </w:rPr>
        <w:t>FINANSE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Budżet Gminy Młynarze po zmianach na 2019 rok wynosił  po stronie: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Dochodów                                                                           9.555.273,19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Wydatków                                                                          9.923.689,18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Planowany deficyt w kwocie 368.415,99 zł wykonanie - nadwyżka 71.246,29 zł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Wpływ na powstanie nadwyżki mają środki z Funduszu Dróg Samorządowych w kwocie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205.661,00 zł zgromadzone na wyodrębnionym rachunku bankowym z przeznaczeniem na wydatki przyszłego roku. Pomniejszając dochody budżetu o środki Funduszu Dróg Samorządowych deficyt wyniósł w kwocie 134.414,71zł, który został pokryty  nadwyżką z lat ubiegłych.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Plan rozchodu budżetu 100.004,00 zł wykonanie 100.004,00 zł tj. 100,00%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Przychody planowane 468.419,99 zł wykonanie: 523.091,22 zł -wolne środki, o których mowa w art.217 ust.2 pkt 6 ustawy 200.000,00 zł i nadwyżka z lat ubiegłych 323.091,22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Wykonanie: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Dochody wyniosły                                                    9.568.794,86  zł tj. 100,14%  wykonania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Wydatki  wyniosły                                                   9.497.548,57  zł tj. 95,71 % wykonania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Wykonanie budżetu w poszczególnych działach gospodarki narodowej przedstawia się następująco: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Times New Roman" w:eastAsia="Times New Roman" w:hAnsi="Times New Roman" w:cs="Times New Roman"/>
          <w:b/>
          <w:i/>
        </w:rPr>
        <w:t>Subwencje ogólne z budżetu państwa w kwocie</w:t>
      </w:r>
      <w:r>
        <w:rPr>
          <w:rFonts w:ascii="Times New Roman" w:eastAsia="Times New Roman" w:hAnsi="Times New Roman" w:cs="Times New Roman"/>
        </w:rPr>
        <w:t xml:space="preserve">     </w:t>
      </w:r>
      <w:r>
        <w:rPr>
          <w:rFonts w:ascii="Times New Roman" w:eastAsia="Times New Roman" w:hAnsi="Times New Roman" w:cs="Times New Roman"/>
          <w:b/>
        </w:rPr>
        <w:t>2.520.451,00</w:t>
      </w:r>
      <w:r>
        <w:rPr>
          <w:rFonts w:ascii="Times New Roman" w:eastAsia="Times New Roman" w:hAnsi="Times New Roman" w:cs="Times New Roman"/>
          <w:b/>
          <w:i/>
        </w:rPr>
        <w:t xml:space="preserve"> zł tj. 100,00%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z tego 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część oświatowa subwencji ogólnej                        1 829 329,00 zł tj.100,00%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część wyrównawcza subwencji ogólnej                    609 691,00 zł  tj.100,00%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część równoważąca subwencji ogólnej                       81 431,00 zł  tj.100,00%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</w:rPr>
        <w:t xml:space="preserve">2. Dotacje                                                                             4.040.023,59 zł 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>tj. 102,76% wyk.</w:t>
      </w:r>
      <w:r>
        <w:rPr>
          <w:rFonts w:ascii="Times New Roman" w:eastAsia="Times New Roman" w:hAnsi="Times New Roman" w:cs="Times New Roman"/>
        </w:rPr>
        <w:t xml:space="preserve"> - Dotacje celowe otrzymane z budżetu państwa na realizację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zadań bieżących z zakresu administracji rządowej zleconych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gminie ustawami                                                                1.226.367,39 zł tj. 99,60%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Dotacje celowe otrzymane z budżetu państwa na zadania bieżące z zakresu administracji rządowej zlecone gminom (związkom gmin, związkom powiatowo-gminnym), związane z realizacją świadczenia wychowawczego stanowiącego pomoc państwa w wychowywaniu dzieci                                                                                 1 756 283,40zł,  tj. 99,99%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Dotacje celowe otrzymane z budżetu państwa na realizację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własnych zadań bieżących gmin                                         155.961,69 zł tj. 88,44%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Dotacje celowe w ramach programów finansowych z udziałem środków europejskich oraz środków, o których mowa w art. 5 ust. 3 pkt 5 lit. a i b ustawy, lub płatności w ramach budżetu środków europejskich, realizowanych przez jednostki samorządu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terytorialnego                                                                     250.852,00zł, tj. 78,38% wyk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Dotacje celowe otrzymane z samorządu województwa na inwestycje i zakupy inwestycyjne realizowane na podstawie porozumień (umów) między jednostkami samorządu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terytorialnego                                                               145.000,00 zł,  tj. 100,00%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Dotacja celowa otrzymane z budżetu państwa na realizację inwestycji i zakupów inwestycyjnych własnych gmin( związków gmin, związków powiatowo-gminnych), -50.000,00 zł. tj. 100,00%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Środki otrzymane od pozostałych jednostek zaliczanych do sektora finansów publicznych na realizacje zadań bieżących jednostek zaliczanych do sektora finansów publicznych – 87.598,11 zł tj. 97,09%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Dotacja celowa otrzymana z tytułu pomocy finansowej udzielanej między jednostkami samorządu terytorialnego na dofinansowanie własnych zadań bieżących – 12.400,00 zł, tj. 100,00%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Środki otrzymane z państwowych funduszy celowych na finansowanie lub dofinansowanie kosztów realizacji inwestycji i zakupów inwestycyjnych jednostek sektora finansów publicznych - 205.661,00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Środki  na dofinansowanie własnych inwestycji gmin, powiatów (związków gmin, związków powiatowo-gminnych, związków powiatów), samorządów województw, pozyskane z innych źródeł - 100.000,00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</w:rPr>
        <w:t>4. Dochody własne w kwocie                                3.008.320,27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z tego: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-    dochody z najmu i dzierżawy składników majątkowych   20.354,73 zł  tj. 51,82%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-    udziały we  wpływach w podatku dochodowym od osób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fizycznych                                                                  786.906,00 zł tj. 100,94%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i  podatku dochodowym od osób prawnych                    19.591,04 zł tj. 97,96%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-     podatki i opłaty                                                             2.027.341,98 zł tj. 96,20% wyk.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     dochody jednostek samorządu terytorialnego związane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z realizacją zadań z zakresu administracji rządowej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oraz innych zadań zleconych ustawami                           1.138,02 zł, 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-     pozostałe dochody                                                          152.988,50 zł tj.  97,53% wyk.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          </w:t>
      </w:r>
      <w:r>
        <w:rPr>
          <w:rFonts w:ascii="Times New Roman" w:eastAsia="Times New Roman" w:hAnsi="Times New Roman" w:cs="Times New Roman"/>
        </w:rPr>
        <w:t>Realizacja w poszczególnych działach przedstawia się następująco: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Rolnictwo i łowiectwo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dochody bieżące</w:t>
      </w:r>
      <w:r>
        <w:rPr>
          <w:rFonts w:ascii="Times New Roman" w:eastAsia="Times New Roman" w:hAnsi="Times New Roman" w:cs="Times New Roman"/>
        </w:rPr>
        <w:t>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 </w:t>
      </w:r>
      <w:r>
        <w:rPr>
          <w:rFonts w:ascii="Times New Roman" w:eastAsia="Times New Roman" w:hAnsi="Times New Roman" w:cs="Times New Roman"/>
          <w:b/>
        </w:rPr>
        <w:t xml:space="preserve">349.972,19 </w:t>
      </w:r>
      <w:r>
        <w:rPr>
          <w:rFonts w:ascii="Times New Roman" w:eastAsia="Times New Roman" w:hAnsi="Times New Roman" w:cs="Times New Roman"/>
        </w:rPr>
        <w:t xml:space="preserve">zł wykonanie </w:t>
      </w:r>
      <w:r>
        <w:rPr>
          <w:rFonts w:ascii="Times New Roman" w:eastAsia="Times New Roman" w:hAnsi="Times New Roman" w:cs="Times New Roman"/>
          <w:b/>
        </w:rPr>
        <w:t>348.267,22</w:t>
      </w:r>
      <w:r>
        <w:rPr>
          <w:rFonts w:ascii="Times New Roman" w:eastAsia="Times New Roman" w:hAnsi="Times New Roman" w:cs="Times New Roman"/>
        </w:rPr>
        <w:t xml:space="preserve">zł to jest  99,51% , czynsz dzierżawny z kół łowieckich w kwocie 3.125,03 zł ,dotacja w kwocie 345.142,19 zł  na realizację ustawy z dnia 10 marca 2006 roku o zwrocie podatku akcyzowego zawartego w cenie oleju napędowego  wykorzystywanego do produkcji rolnej , z przeznaczeniem   na zwrot części podatku akcyzowego zawartego w cenie oleju napędowego  wykorzystanego do produkcji rolnej przez producentów rolnych  oraz pokrycie kosztów postępowania  w sprawie jego zwrotu poniesionych przez gminy(dochody zlecone). 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Wytwarzanie i zaopatrywanie w energię elektryczną, gaz i wodę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dochody bieżące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 xml:space="preserve">110.215,00 zł </w:t>
      </w:r>
      <w:r>
        <w:rPr>
          <w:rFonts w:ascii="Times New Roman" w:eastAsia="Times New Roman" w:hAnsi="Times New Roman" w:cs="Times New Roman"/>
        </w:rPr>
        <w:t xml:space="preserve">wykonanie </w:t>
      </w:r>
      <w:r>
        <w:rPr>
          <w:rFonts w:ascii="Times New Roman" w:eastAsia="Times New Roman" w:hAnsi="Times New Roman" w:cs="Times New Roman"/>
          <w:b/>
        </w:rPr>
        <w:t>95.501,10 zł</w:t>
      </w:r>
      <w:r>
        <w:rPr>
          <w:rFonts w:ascii="Times New Roman" w:eastAsia="Times New Roman" w:hAnsi="Times New Roman" w:cs="Times New Roman"/>
        </w:rPr>
        <w:t>,  tj. 86,65% - dostarczanie wody – 95.501,10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Dochody te są uzależnione od poboru wody przez mieszkańców podłączonych do sieci wodociągowej</w:t>
      </w:r>
      <w:r>
        <w:rPr>
          <w:rFonts w:ascii="Times New Roman" w:eastAsia="Times New Roman" w:hAnsi="Times New Roman" w:cs="Times New Roman"/>
          <w:b/>
        </w:rPr>
        <w:t>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Transport i łączność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-dochody bieżące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35.000,00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zł,</w:t>
      </w:r>
      <w:r>
        <w:rPr>
          <w:rFonts w:ascii="Times New Roman" w:eastAsia="Times New Roman" w:hAnsi="Times New Roman" w:cs="Times New Roman"/>
        </w:rPr>
        <w:t xml:space="preserve"> wykonanie </w:t>
      </w:r>
      <w:r>
        <w:rPr>
          <w:rFonts w:ascii="Times New Roman" w:eastAsia="Times New Roman" w:hAnsi="Times New Roman" w:cs="Times New Roman"/>
          <w:b/>
        </w:rPr>
        <w:t>34.114,34 zł,</w:t>
      </w:r>
      <w:r>
        <w:rPr>
          <w:rFonts w:ascii="Times New Roman" w:eastAsia="Times New Roman" w:hAnsi="Times New Roman" w:cs="Times New Roman"/>
        </w:rPr>
        <w:t xml:space="preserve"> tj.</w:t>
      </w:r>
      <w:r>
        <w:rPr>
          <w:rFonts w:ascii="Times New Roman" w:eastAsia="Times New Roman" w:hAnsi="Times New Roman" w:cs="Times New Roman"/>
          <w:b/>
        </w:rPr>
        <w:t xml:space="preserve"> 97,47 %</w:t>
      </w:r>
      <w:r>
        <w:rPr>
          <w:rFonts w:ascii="Times New Roman" w:eastAsia="Times New Roman" w:hAnsi="Times New Roman" w:cs="Times New Roman"/>
        </w:rPr>
        <w:t xml:space="preserve"> wyk. są to wpływy  różnych opłat.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 xml:space="preserve">- dochody majątkowe 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95.000,00 zł</w:t>
      </w:r>
      <w:r>
        <w:rPr>
          <w:rFonts w:ascii="Times New Roman" w:eastAsia="Times New Roman" w:hAnsi="Times New Roman" w:cs="Times New Roman"/>
        </w:rPr>
        <w:t xml:space="preserve"> wykonanie </w:t>
      </w:r>
      <w:r>
        <w:rPr>
          <w:rFonts w:ascii="Times New Roman" w:eastAsia="Times New Roman" w:hAnsi="Times New Roman" w:cs="Times New Roman"/>
          <w:b/>
        </w:rPr>
        <w:t>300.661,00 zł</w:t>
      </w:r>
      <w:r>
        <w:rPr>
          <w:rFonts w:ascii="Times New Roman" w:eastAsia="Times New Roman" w:hAnsi="Times New Roman" w:cs="Times New Roman"/>
        </w:rPr>
        <w:t>, tj.</w:t>
      </w:r>
      <w:r>
        <w:rPr>
          <w:rFonts w:ascii="Times New Roman" w:eastAsia="Times New Roman" w:hAnsi="Times New Roman" w:cs="Times New Roman"/>
          <w:b/>
        </w:rPr>
        <w:t xml:space="preserve">316,49 % </w:t>
      </w:r>
      <w:r>
        <w:rPr>
          <w:rFonts w:ascii="Times New Roman" w:eastAsia="Times New Roman" w:hAnsi="Times New Roman" w:cs="Times New Roman"/>
        </w:rPr>
        <w:t xml:space="preserve">w tym dotacja celowa  z samorządu województwa na inwestycje i zakupy inwestycyjne realizowane na podstawie porozumień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( umów) między jednostkami samorządu terytorialnego -  95.000,00 zł. i środki otrzymane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z państwowych funduszy celowych na finansowanie lub dofinansowanie kosztów realizacji inwestycji i zakupów inwestycyjnych jednostek sektora finansów publicznych - 205.661,00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Są to środki z Funduszu Dróg Samorządowych z przeznaczeniem na wydatki roku 2020r.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Gospodarka mieszkaniowa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  <w:i/>
          <w:u w:val="single"/>
        </w:rPr>
        <w:t>dochody bieżące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 </w:t>
      </w:r>
      <w:r>
        <w:rPr>
          <w:rFonts w:ascii="Times New Roman" w:eastAsia="Times New Roman" w:hAnsi="Times New Roman" w:cs="Times New Roman"/>
          <w:b/>
        </w:rPr>
        <w:t xml:space="preserve">37.100,00 </w:t>
      </w:r>
      <w:r>
        <w:rPr>
          <w:rFonts w:ascii="Times New Roman" w:eastAsia="Times New Roman" w:hAnsi="Times New Roman" w:cs="Times New Roman"/>
        </w:rPr>
        <w:t xml:space="preserve">zł, wykonanie </w:t>
      </w:r>
      <w:r>
        <w:rPr>
          <w:rFonts w:ascii="Times New Roman" w:eastAsia="Times New Roman" w:hAnsi="Times New Roman" w:cs="Times New Roman"/>
          <w:b/>
        </w:rPr>
        <w:t>17.229,70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zł</w:t>
      </w:r>
      <w:r>
        <w:rPr>
          <w:rFonts w:ascii="Times New Roman" w:eastAsia="Times New Roman" w:hAnsi="Times New Roman" w:cs="Times New Roman"/>
        </w:rPr>
        <w:t xml:space="preserve"> tj. 46,44 % są to dochody z tytułu najmu i dzierżawy składników majątkowych skarbu państwa, jednostek samorządu terytorialnego lub innych jednostek zaliczanych do sektora finansów publicznych oraz umów o podobnym charakterze.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Administracja publiczna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dochody bieżące</w:t>
      </w:r>
      <w:r>
        <w:rPr>
          <w:rFonts w:ascii="Times New Roman" w:eastAsia="Times New Roman" w:hAnsi="Times New Roman" w:cs="Times New Roman"/>
        </w:rPr>
        <w:t>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29.891,00 zł</w:t>
      </w:r>
      <w:r>
        <w:rPr>
          <w:rFonts w:ascii="Times New Roman" w:eastAsia="Times New Roman" w:hAnsi="Times New Roman" w:cs="Times New Roman"/>
        </w:rPr>
        <w:t xml:space="preserve">, wykonanie </w:t>
      </w:r>
      <w:r>
        <w:rPr>
          <w:rFonts w:ascii="Times New Roman" w:eastAsia="Times New Roman" w:hAnsi="Times New Roman" w:cs="Times New Roman"/>
          <w:b/>
        </w:rPr>
        <w:t>29 680,12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zł</w:t>
      </w:r>
      <w:r>
        <w:rPr>
          <w:rFonts w:ascii="Times New Roman" w:eastAsia="Times New Roman" w:hAnsi="Times New Roman" w:cs="Times New Roman"/>
        </w:rPr>
        <w:t xml:space="preserve">. tj. 99,29%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Są to środki z Urzędu Wojewódzkiego na zadania zlecone gminie.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 xml:space="preserve">Urzędy naczelnych organów władzy państwowej, kontroli i ochrony prawa oraz sądownictwa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i/>
          <w:u w:val="single"/>
        </w:rPr>
        <w:t xml:space="preserve">- </w:t>
      </w:r>
      <w:r>
        <w:rPr>
          <w:rFonts w:ascii="Times New Roman" w:eastAsia="Times New Roman" w:hAnsi="Times New Roman" w:cs="Times New Roman"/>
          <w:i/>
          <w:u w:val="single"/>
        </w:rPr>
        <w:t>dochody bieżące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 </w:t>
      </w:r>
      <w:r>
        <w:rPr>
          <w:rFonts w:ascii="Times New Roman" w:eastAsia="Times New Roman" w:hAnsi="Times New Roman" w:cs="Times New Roman"/>
          <w:b/>
        </w:rPr>
        <w:t>29.434,00 zł</w:t>
      </w:r>
      <w:r>
        <w:rPr>
          <w:rFonts w:ascii="Times New Roman" w:eastAsia="Times New Roman" w:hAnsi="Times New Roman" w:cs="Times New Roman"/>
        </w:rPr>
        <w:t xml:space="preserve"> - wykonanie </w:t>
      </w:r>
      <w:r>
        <w:rPr>
          <w:rFonts w:ascii="Times New Roman" w:eastAsia="Times New Roman" w:hAnsi="Times New Roman" w:cs="Times New Roman"/>
          <w:b/>
        </w:rPr>
        <w:t xml:space="preserve">29.339,00 </w:t>
      </w:r>
      <w:r>
        <w:rPr>
          <w:rFonts w:ascii="Times New Roman" w:eastAsia="Times New Roman" w:hAnsi="Times New Roman" w:cs="Times New Roman"/>
        </w:rPr>
        <w:t xml:space="preserve">zł tj.99,68 %  wyk. Są to środki na zadania zlecone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gminie.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Bezpieczeństwo publiczne i ochrona przeciwpożarowa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i/>
          <w:u w:val="single"/>
        </w:rPr>
        <w:t>dochody bieżące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Plan 12.400,00 zł- wykonanie 12.400,00 zł. -Dotacja celowa otrzymana z tytułu pomocy finansowej udzielanej między jednostkami samorządu terytorialnego na dofinansowanie własnych zadań bieżących.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i/>
          <w:u w:val="single"/>
        </w:rPr>
        <w:t>dochody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150.000,00 zł,</w:t>
      </w:r>
      <w:r>
        <w:rPr>
          <w:rFonts w:ascii="Times New Roman" w:eastAsia="Times New Roman" w:hAnsi="Times New Roman" w:cs="Times New Roman"/>
        </w:rPr>
        <w:t xml:space="preserve"> wykonanie </w:t>
      </w:r>
      <w:r>
        <w:rPr>
          <w:rFonts w:ascii="Times New Roman" w:eastAsia="Times New Roman" w:hAnsi="Times New Roman" w:cs="Times New Roman"/>
          <w:b/>
        </w:rPr>
        <w:t>150.000,00 zł</w:t>
      </w:r>
      <w:r>
        <w:rPr>
          <w:rFonts w:ascii="Times New Roman" w:eastAsia="Times New Roman" w:hAnsi="Times New Roman" w:cs="Times New Roman"/>
        </w:rPr>
        <w:t xml:space="preserve">. tj.100,00% tj. Środki  na dofinansowanie własnych inwestycji gmin, powiatów (związków gmin, związków powiatowo-gminnych, związków powiatów), samorządów województw, pozyskane z innych źródeł -100.000,00 zł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dotacje celowe otrzymane z samorządu województwa na inwestycje i zakupy inwestycyjne realizowane na podstawie porozumień (umów) między jednostkami samorządu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terytorialnego 50.000,00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Dochody od osób prawnych, od osób fizycznych i od innych jednostek nie posiadających osobowości prawnej oraz wydatki związane z ich poborem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dochody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Plan </w:t>
      </w:r>
      <w:r>
        <w:rPr>
          <w:rFonts w:ascii="Times New Roman" w:eastAsia="Times New Roman" w:hAnsi="Times New Roman" w:cs="Times New Roman"/>
          <w:b/>
        </w:rPr>
        <w:t>2.631.823,00 zł</w:t>
      </w:r>
      <w:r>
        <w:rPr>
          <w:rFonts w:ascii="Times New Roman" w:eastAsia="Times New Roman" w:hAnsi="Times New Roman" w:cs="Times New Roman"/>
        </w:rPr>
        <w:t xml:space="preserve"> wykonanie  </w:t>
      </w:r>
      <w:r>
        <w:rPr>
          <w:rFonts w:ascii="Times New Roman" w:eastAsia="Times New Roman" w:hAnsi="Times New Roman" w:cs="Times New Roman"/>
          <w:b/>
        </w:rPr>
        <w:t xml:space="preserve">2.566.668,76 </w:t>
      </w:r>
      <w:r>
        <w:rPr>
          <w:rFonts w:ascii="Times New Roman" w:eastAsia="Times New Roman" w:hAnsi="Times New Roman" w:cs="Times New Roman"/>
        </w:rPr>
        <w:t xml:space="preserve">zł  to jest  97,52%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Wpływy z podatku od nieruchomości </w:t>
      </w:r>
      <w:r>
        <w:rPr>
          <w:rFonts w:ascii="Times New Roman" w:eastAsia="Times New Roman" w:hAnsi="Times New Roman" w:cs="Times New Roman"/>
        </w:rPr>
        <w:tab/>
        <w:t xml:space="preserve">                           1.226.350,95 zł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z podatku rolnego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                              142.969,05 zł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z podatku leśnego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                                55.119,05 zł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podatek od środków transportowych</w:t>
      </w:r>
      <w:r>
        <w:rPr>
          <w:rFonts w:ascii="Times New Roman" w:eastAsia="Times New Roman" w:hAnsi="Times New Roman" w:cs="Times New Roman"/>
        </w:rPr>
        <w:tab/>
        <w:t xml:space="preserve">                              223.893,00 zł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podatek od spadków i darowizn                                                2.233,00 zł 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od czynności cywilnoprawnych</w:t>
      </w:r>
      <w:r>
        <w:rPr>
          <w:rFonts w:ascii="Times New Roman" w:eastAsia="Times New Roman" w:hAnsi="Times New Roman" w:cs="Times New Roman"/>
        </w:rPr>
        <w:tab/>
        <w:t xml:space="preserve">                                77.358,05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wpływy z tytułu kosztów egzekucyjnych, opłaty komorniczej i kosztów upomnień – 67,28zł,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odsetki od nieterminowych wpłat podatkowych                     1.539,85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 opłaty skarbowej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                    7.230,00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wpływy za zezwolenia na sprzedaż alkoholu                       22.805,97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Udziały gmin w podatkach stanowiących dochód budżetu państwa stanowią: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806.497,04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Skutki obniżenia górnych stawek podatków przez Radę Gminy wynoszą: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366.828,12 zł oraz skutki udzielonych   ulg, umorzeń, zwolnień  obliczone  za okres sprawozdawczy ( bez ulg i zwolnień ustawowych ) wynoszą  29.048,65 zł, umorzenia zaległości podatkowych 1.546,00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W 2019 roku  na łączne zobowiązanie pieniężne wystawiono 84 upomnień na kwotę 33.905,63 zł i 5 tytułów wykonawczych  na kwotę 3.429,00 zł. Na podatek od środków transportowych wystawiono 10 upomnień na kwotę 37.458,00 zł i wystawiono 10 tytułów wykonawczych  na kwotę 33.735,00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Różne rozliczenia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dochody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 xml:space="preserve">2.535.451,00 </w:t>
      </w:r>
      <w:r>
        <w:rPr>
          <w:rFonts w:ascii="Times New Roman" w:eastAsia="Times New Roman" w:hAnsi="Times New Roman" w:cs="Times New Roman"/>
        </w:rPr>
        <w:t xml:space="preserve">zł wykonanie  </w:t>
      </w:r>
      <w:r>
        <w:rPr>
          <w:rFonts w:ascii="Times New Roman" w:eastAsia="Times New Roman" w:hAnsi="Times New Roman" w:cs="Times New Roman"/>
          <w:b/>
        </w:rPr>
        <w:t>2.525.960,92 zł,</w:t>
      </w:r>
      <w:r>
        <w:rPr>
          <w:rFonts w:ascii="Times New Roman" w:eastAsia="Times New Roman" w:hAnsi="Times New Roman" w:cs="Times New Roman"/>
        </w:rPr>
        <w:t xml:space="preserve"> to jest  99,63 %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tym: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Część oświatowa subwencji ogólnej   dla jednostek samorządu terytorialnego wpłynęło                                                                                       1.829.329,00 zł.                                                                    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Część  wyrównawcza  subwencji ogólnej dla gmin  wpłynęło    609.691,00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Część równoważąca subwencji ogólnej dla gmin  wpłynęło         81.431,00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Wpływy z pozostałych odsetek                                                        5.509,92 zł.</w:t>
      </w:r>
    </w:p>
    <w:p w:rsidR="0000592B" w:rsidRDefault="0000592B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Oświata i wychowanie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dochody bieżące</w:t>
      </w:r>
      <w:r>
        <w:rPr>
          <w:rFonts w:ascii="Times New Roman" w:eastAsia="Times New Roman" w:hAnsi="Times New Roman" w:cs="Times New Roman"/>
        </w:rPr>
        <w:t>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 xml:space="preserve">272.791,00 </w:t>
      </w:r>
      <w:r>
        <w:rPr>
          <w:rFonts w:ascii="Times New Roman" w:eastAsia="Times New Roman" w:hAnsi="Times New Roman" w:cs="Times New Roman"/>
        </w:rPr>
        <w:t xml:space="preserve">zł  wykonanie </w:t>
      </w:r>
      <w:r>
        <w:rPr>
          <w:rFonts w:ascii="Times New Roman" w:eastAsia="Times New Roman" w:hAnsi="Times New Roman" w:cs="Times New Roman"/>
          <w:b/>
        </w:rPr>
        <w:t>294.513,22</w:t>
      </w:r>
      <w:r>
        <w:rPr>
          <w:rFonts w:ascii="Times New Roman" w:eastAsia="Times New Roman" w:hAnsi="Times New Roman" w:cs="Times New Roman"/>
        </w:rPr>
        <w:t xml:space="preserve"> zł  tj. 107,96%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Dotacje celowe otrzymane z budżetu państwa na realizację własnych zadań bieżących gmin (związków gmin) – 54.254,01 zł, wpływy z opłat za korzystanie z wychowania przedszkolnego </w:t>
      </w:r>
      <w:r>
        <w:rPr>
          <w:rFonts w:ascii="Times New Roman" w:eastAsia="Times New Roman" w:hAnsi="Times New Roman" w:cs="Times New Roman"/>
        </w:rPr>
        <w:lastRenderedPageBreak/>
        <w:t>6.251,00 zł. Wpływy z opłat za korzystanie z wyżywienia w jednostkach  realizujących zadania z zakresu wychowania przedszkolnego 30.978,50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Wpływy z usług – 48.966,60.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Dotacje celowe otrzymane z budżetu państwa na realizację zadań bieżących z zakresu administracji rządowej zleconych gminie ustawami – 14.335,20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- 139.534,00  zł, tj. w/w dotacja jest przeznaczona na zadanie </w:t>
      </w:r>
      <w:r>
        <w:rPr>
          <w:rFonts w:ascii="Times New Roman" w:eastAsia="Times New Roman" w:hAnsi="Times New Roman" w:cs="Times New Roman"/>
          <w:i/>
        </w:rPr>
        <w:t>Inwestujemy w naszą przyszłość</w:t>
      </w:r>
      <w:r>
        <w:rPr>
          <w:rFonts w:ascii="Times New Roman" w:eastAsia="Times New Roman" w:hAnsi="Times New Roman" w:cs="Times New Roman"/>
        </w:rPr>
        <w:t xml:space="preserve"> - Podwyższenie poziomu kompetencji kluczowych uczniów  oraz postaw niezbędnych na rynku pracy, oraz podniesienie kompetencji nauczycieli w zakresie metod i form sprzyjających kształt. i rozwijaniu u uczniów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dochody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37.800,00 zł</w:t>
      </w:r>
      <w:r>
        <w:rPr>
          <w:rFonts w:ascii="Times New Roman" w:eastAsia="Times New Roman" w:hAnsi="Times New Roman" w:cs="Times New Roman"/>
        </w:rPr>
        <w:t xml:space="preserve">, wykonanie </w:t>
      </w:r>
      <w:r>
        <w:rPr>
          <w:rFonts w:ascii="Times New Roman" w:eastAsia="Times New Roman" w:hAnsi="Times New Roman" w:cs="Times New Roman"/>
          <w:b/>
        </w:rPr>
        <w:t>37.800,00</w:t>
      </w:r>
      <w:r>
        <w:rPr>
          <w:rFonts w:ascii="Times New Roman" w:eastAsia="Times New Roman" w:hAnsi="Times New Roman" w:cs="Times New Roman"/>
        </w:rPr>
        <w:t xml:space="preserve"> zł, tj. 100,00%  dotacje celowe w ramach programów finansowych z udziałem środków europejskich oraz środków, o których mowa w art. 5 ust. 3 pkt 5 lit. a i b ustawy, lub płatności w ramach budżetu środków europejskich, realizowanych przez jednostki samorządu terytorialnego w/w dotacja jest przeznaczona na zadanie </w:t>
      </w:r>
      <w:r>
        <w:rPr>
          <w:rFonts w:ascii="Times New Roman" w:eastAsia="Times New Roman" w:hAnsi="Times New Roman" w:cs="Times New Roman"/>
          <w:i/>
        </w:rPr>
        <w:t>Inwestujemy w naszą przyszłość</w:t>
      </w:r>
      <w:r>
        <w:rPr>
          <w:rFonts w:ascii="Times New Roman" w:eastAsia="Times New Roman" w:hAnsi="Times New Roman" w:cs="Times New Roman"/>
        </w:rPr>
        <w:t xml:space="preserve"> - Podwyższenie poziomu kompetencji kluczowych uczniów  oraz postaw niezbędnych na rynku pracy, oraz podniesienie kompetencji nauczycieli w zakresie metod i form sprzyjających kształt. i rozwijaniu u uczniów.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Pomoc społeczna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  <w:u w:val="single"/>
        </w:rPr>
        <w:t>-</w:t>
      </w:r>
      <w:r>
        <w:rPr>
          <w:rFonts w:ascii="Times New Roman" w:eastAsia="Times New Roman" w:hAnsi="Times New Roman" w:cs="Times New Roman"/>
          <w:i/>
          <w:u w:val="single"/>
        </w:rPr>
        <w:t>dochody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 </w:t>
      </w:r>
      <w:r>
        <w:rPr>
          <w:rFonts w:ascii="Times New Roman" w:eastAsia="Times New Roman" w:hAnsi="Times New Roman" w:cs="Times New Roman"/>
          <w:b/>
        </w:rPr>
        <w:t>98.790,00</w:t>
      </w:r>
      <w:r>
        <w:rPr>
          <w:rFonts w:ascii="Times New Roman" w:eastAsia="Times New Roman" w:hAnsi="Times New Roman" w:cs="Times New Roman"/>
        </w:rPr>
        <w:t xml:space="preserve"> zł wykonanie  </w:t>
      </w:r>
      <w:r>
        <w:rPr>
          <w:rFonts w:ascii="Times New Roman" w:eastAsia="Times New Roman" w:hAnsi="Times New Roman" w:cs="Times New Roman"/>
          <w:b/>
        </w:rPr>
        <w:t>98.659,56</w:t>
      </w:r>
      <w:r>
        <w:rPr>
          <w:rFonts w:ascii="Times New Roman" w:eastAsia="Times New Roman" w:hAnsi="Times New Roman" w:cs="Times New Roman"/>
        </w:rPr>
        <w:t xml:space="preserve"> zł  tj.  99,87 % 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Dotacje celowe na zadania własne w kwocie                       97.789,28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wpływy z usług -                                                                        870,28 zł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Edukacyjna opieka wychowawcza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dochody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 xml:space="preserve">21.025,00 </w:t>
      </w:r>
      <w:r>
        <w:rPr>
          <w:rFonts w:ascii="Times New Roman" w:eastAsia="Times New Roman" w:hAnsi="Times New Roman" w:cs="Times New Roman"/>
        </w:rPr>
        <w:t xml:space="preserve">zł wykonanie </w:t>
      </w:r>
      <w:r>
        <w:rPr>
          <w:rFonts w:ascii="Times New Roman" w:eastAsia="Times New Roman" w:hAnsi="Times New Roman" w:cs="Times New Roman"/>
          <w:b/>
        </w:rPr>
        <w:t>3.918,40</w:t>
      </w:r>
      <w:r>
        <w:rPr>
          <w:rFonts w:ascii="Times New Roman" w:eastAsia="Times New Roman" w:hAnsi="Times New Roman" w:cs="Times New Roman"/>
        </w:rPr>
        <w:t xml:space="preserve"> zł tj. 18,64% wykonania dotacji celowej otrzymanej z budżetu państwa na realizację zadań bieżących gmin .Kwota ta przeznaczona jest na dofinansowanie świadczeń pomocy materialnej dla uczniów o charakterze socjalnym 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Rodzina</w:t>
      </w:r>
      <w:r>
        <w:rPr>
          <w:rFonts w:ascii="Times New Roman" w:eastAsia="Times New Roman" w:hAnsi="Times New Roman" w:cs="Times New Roman"/>
        </w:rPr>
        <w:t xml:space="preserve">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dochody bieżące</w:t>
      </w:r>
      <w:r>
        <w:rPr>
          <w:rFonts w:ascii="Times New Roman" w:eastAsia="Times New Roman" w:hAnsi="Times New Roman" w:cs="Times New Roman"/>
        </w:rPr>
        <w:t xml:space="preserve">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2.568.543,00 zł</w:t>
      </w:r>
      <w:r>
        <w:rPr>
          <w:rFonts w:ascii="Times New Roman" w:eastAsia="Times New Roman" w:hAnsi="Times New Roman" w:cs="Times New Roman"/>
        </w:rPr>
        <w:t xml:space="preserve">, wykonanie </w:t>
      </w:r>
      <w:r>
        <w:rPr>
          <w:rFonts w:ascii="Times New Roman" w:eastAsia="Times New Roman" w:hAnsi="Times New Roman" w:cs="Times New Roman"/>
          <w:b/>
        </w:rPr>
        <w:t>2.565.292,30 zł,</w:t>
      </w:r>
      <w:r>
        <w:rPr>
          <w:rFonts w:ascii="Times New Roman" w:eastAsia="Times New Roman" w:hAnsi="Times New Roman" w:cs="Times New Roman"/>
        </w:rPr>
        <w:t xml:space="preserve"> tj. 99,87% (zadanie zlecone)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- dotacje na świadczenia wychowawcze  wykonanie 1.756.283,40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dotacje na świadczenia rodzinne, świadczenie z funduszu alimentacyjnego oraz składki na ubezpieczenia emerytalne i rentowe z ubezpieczenia społecznego – 734.206,74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-dochody jednostek samorządu terytorialnego związane z realizacja zadań administracji rządowej oraz innych zadań zleconych ustawami – 1.136,47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dotacja na kartę dużej rodziny 277,95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- wspieranie rodziny – 69.129,24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 - 4.258,50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Gospodarka komunalna i ochrona środowiska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297.424,00 zł</w:t>
      </w:r>
      <w:r>
        <w:rPr>
          <w:rFonts w:ascii="Times New Roman" w:eastAsia="Times New Roman" w:hAnsi="Times New Roman" w:cs="Times New Roman"/>
        </w:rPr>
        <w:t xml:space="preserve">, wykonanie </w:t>
      </w:r>
      <w:r>
        <w:rPr>
          <w:rFonts w:ascii="Times New Roman" w:eastAsia="Times New Roman" w:hAnsi="Times New Roman" w:cs="Times New Roman"/>
          <w:b/>
        </w:rPr>
        <w:t>285.371,22 zł</w:t>
      </w:r>
      <w:r>
        <w:rPr>
          <w:rFonts w:ascii="Times New Roman" w:eastAsia="Times New Roman" w:hAnsi="Times New Roman" w:cs="Times New Roman"/>
        </w:rPr>
        <w:t>, tj.  95,95%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Wpływy z innych lokalnych opłat pobieranych przez jednostki samorządu terytorialnego na podstawie odrębnych ustaw 195.759,80 zł tj. za gospodarowanie odpadami  komunalnymi,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wpływy i wydatki związane z gromadzeniem środków z opłat i kar za korzystanie ze środowiska 1.432,47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Pozostałe działania związane z gospodarką odpadami – 8.178,95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Pozostała działalność -80.000,00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i/>
          <w:u w:val="single"/>
        </w:rPr>
        <w:t>dochody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10.000,00 zł</w:t>
      </w:r>
      <w:r>
        <w:rPr>
          <w:rFonts w:ascii="Times New Roman" w:eastAsia="Times New Roman" w:hAnsi="Times New Roman" w:cs="Times New Roman"/>
        </w:rPr>
        <w:t xml:space="preserve"> wykonanie </w:t>
      </w:r>
      <w:r>
        <w:rPr>
          <w:rFonts w:ascii="Times New Roman" w:eastAsia="Times New Roman" w:hAnsi="Times New Roman" w:cs="Times New Roman"/>
          <w:b/>
        </w:rPr>
        <w:t>10.000,00</w:t>
      </w:r>
      <w:r>
        <w:rPr>
          <w:rFonts w:ascii="Times New Roman" w:eastAsia="Times New Roman" w:hAnsi="Times New Roman" w:cs="Times New Roman"/>
        </w:rPr>
        <w:t xml:space="preserve"> zł. tj. 100,00%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Dotacja celowa otrzymana z tytułu pomocy finansowej udzielanej między jednostkami samorządu terytorialnego na dofinansowanie własnych zadań inwestycyjnych i zakupów inwestycyjnych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Kultura i ochrona dziedzictwa narodowego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i/>
          <w:u w:val="single"/>
        </w:rPr>
        <w:t>- dochody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151.270,60 zł</w:t>
      </w:r>
      <w:r>
        <w:rPr>
          <w:rFonts w:ascii="Times New Roman" w:eastAsia="Times New Roman" w:hAnsi="Times New Roman" w:cs="Times New Roman"/>
        </w:rPr>
        <w:t xml:space="preserve">, wykonanie </w:t>
      </w:r>
      <w:r>
        <w:rPr>
          <w:rFonts w:ascii="Times New Roman" w:eastAsia="Times New Roman" w:hAnsi="Times New Roman" w:cs="Times New Roman"/>
          <w:b/>
        </w:rPr>
        <w:t>113.518,00 zł</w:t>
      </w:r>
      <w:r>
        <w:rPr>
          <w:rFonts w:ascii="Times New Roman" w:eastAsia="Times New Roman" w:hAnsi="Times New Roman" w:cs="Times New Roman"/>
        </w:rPr>
        <w:t xml:space="preserve"> tj. 75,04 %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- 73.518,00 zł,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Dotacja celowa otrzymana z tytułu pomocy finansowej udzielanej między jednostkami samorządu terytorialnego na dofinansowanie własnych zadań inwestycyjnych i zakupów inwestycyjnych – 40.000,00 zł.</w:t>
      </w:r>
    </w:p>
    <w:p w:rsidR="0000592B" w:rsidRDefault="0000592B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Kultura fizyczna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i/>
          <w:u w:val="single"/>
        </w:rPr>
        <w:t>dochody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81.343,40 zł</w:t>
      </w:r>
      <w:r>
        <w:rPr>
          <w:rFonts w:ascii="Times New Roman" w:eastAsia="Times New Roman" w:hAnsi="Times New Roman" w:cs="Times New Roman"/>
        </w:rPr>
        <w:t xml:space="preserve"> wykonanie 49.900,00 zł. tj. 61,34 %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Dotacje celowe otrzymane z budżetu państwa na realizację inwestycji i zakupów inwestycyjnych własnych gmin (związków gmin, związków powiatowo-gminnych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u w:val="single"/>
        </w:rPr>
        <w:t>WYDATKI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Realizacja wydatków budżetowych z podziałem na poszczególne działy gospodarki narodowej przedstawia się następująco: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Rolnictwo i łowiectwo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-wydatki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 xml:space="preserve">445.810,19  </w:t>
      </w:r>
      <w:r>
        <w:rPr>
          <w:rFonts w:ascii="Times New Roman" w:eastAsia="Times New Roman" w:hAnsi="Times New Roman" w:cs="Times New Roman"/>
        </w:rPr>
        <w:t xml:space="preserve">zł wykonanie </w:t>
      </w:r>
      <w:r>
        <w:rPr>
          <w:rFonts w:ascii="Times New Roman" w:eastAsia="Times New Roman" w:hAnsi="Times New Roman" w:cs="Times New Roman"/>
          <w:b/>
        </w:rPr>
        <w:t>422.737,96</w:t>
      </w:r>
      <w:r>
        <w:rPr>
          <w:rFonts w:ascii="Times New Roman" w:eastAsia="Times New Roman" w:hAnsi="Times New Roman" w:cs="Times New Roman"/>
        </w:rPr>
        <w:t xml:space="preserve"> tj. 94,82%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tym na infrastrukturę wodociągową i </w:t>
      </w:r>
      <w:proofErr w:type="spellStart"/>
      <w:r>
        <w:rPr>
          <w:rFonts w:ascii="Times New Roman" w:eastAsia="Times New Roman" w:hAnsi="Times New Roman" w:cs="Times New Roman"/>
        </w:rPr>
        <w:t>sanitacyjną</w:t>
      </w:r>
      <w:proofErr w:type="spellEnd"/>
      <w:r>
        <w:rPr>
          <w:rFonts w:ascii="Times New Roman" w:eastAsia="Times New Roman" w:hAnsi="Times New Roman" w:cs="Times New Roman"/>
        </w:rPr>
        <w:t xml:space="preserve"> wsi 75.494,54 zł, w tym na wynagrodzenie osobowe pracowników 18.500,00 zł i pochodne od wynagrodzeń 3.617,00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Izby rolnicze wydatkowano 2.101,23 zł. Pozostała działalność  345.142,19 zł są to wydatki zlecone przeznaczone na realizację ustawy z dnia 10 marca 2006r. o zwrocie podatku akcyzowego zawartego w cenie oleju napędowego wykorzystywanego do produkcji rolnej.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Transport i łączność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wydatki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 </w:t>
      </w:r>
      <w:r>
        <w:rPr>
          <w:rFonts w:ascii="Times New Roman" w:eastAsia="Times New Roman" w:hAnsi="Times New Roman" w:cs="Times New Roman"/>
          <w:b/>
        </w:rPr>
        <w:t>128.982,45</w:t>
      </w:r>
      <w:r>
        <w:rPr>
          <w:rFonts w:ascii="Times New Roman" w:eastAsia="Times New Roman" w:hAnsi="Times New Roman" w:cs="Times New Roman"/>
        </w:rPr>
        <w:t xml:space="preserve">  zł wykonanie  </w:t>
      </w:r>
      <w:r w:rsidR="00906655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b/>
        </w:rPr>
        <w:t>26.828,83 zł</w:t>
      </w:r>
      <w:r>
        <w:rPr>
          <w:rFonts w:ascii="Times New Roman" w:eastAsia="Times New Roman" w:hAnsi="Times New Roman" w:cs="Times New Roman"/>
        </w:rPr>
        <w:t xml:space="preserve">  to jest  94,87%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Są to wydatki związane z utrzymanie dróg gminnych.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wydatki majątkowe: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507.000,00 zł</w:t>
      </w:r>
      <w:r>
        <w:rPr>
          <w:rFonts w:ascii="Times New Roman" w:eastAsia="Times New Roman" w:hAnsi="Times New Roman" w:cs="Times New Roman"/>
        </w:rPr>
        <w:t xml:space="preserve">, wykonanie </w:t>
      </w:r>
      <w:r>
        <w:rPr>
          <w:rFonts w:ascii="Times New Roman" w:eastAsia="Times New Roman" w:hAnsi="Times New Roman" w:cs="Times New Roman"/>
          <w:b/>
        </w:rPr>
        <w:t>497.769,19</w:t>
      </w:r>
      <w:r>
        <w:rPr>
          <w:rFonts w:ascii="Times New Roman" w:eastAsia="Times New Roman" w:hAnsi="Times New Roman" w:cs="Times New Roman"/>
        </w:rPr>
        <w:t xml:space="preserve"> zł tj. 98,18% na</w:t>
      </w:r>
      <w:r>
        <w:rPr>
          <w:rFonts w:ascii="Times New Roman" w:eastAsia="Times New Roman" w:hAnsi="Times New Roman" w:cs="Times New Roman"/>
          <w:i/>
        </w:rPr>
        <w:t>: Przebudowa drogi gminnej Młynarze-Gierwaty od km0+998 do km 1+755 długości 757 mb</w:t>
      </w:r>
      <w:r>
        <w:rPr>
          <w:rFonts w:ascii="Times New Roman" w:eastAsia="Times New Roman" w:hAnsi="Times New Roman" w:cs="Times New Roman"/>
        </w:rPr>
        <w:t xml:space="preserve"> -163.175,64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Przebudowa drogi gminnej od miejscowości Ochenki do miejscowości Długołęka Koski o długości 885 mb w gminie Młynarze</w:t>
      </w:r>
      <w:r>
        <w:rPr>
          <w:rFonts w:ascii="Times New Roman" w:eastAsia="Times New Roman" w:hAnsi="Times New Roman" w:cs="Times New Roman"/>
        </w:rPr>
        <w:t xml:space="preserve"> – 265.797,13 zł( współfinansowana z samorządu województwa 95.000,00 zł),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 xml:space="preserve">Przebudowa odcinka drogi gminnej na działce 321 w </w:t>
      </w:r>
      <w:proofErr w:type="spellStart"/>
      <w:r>
        <w:rPr>
          <w:rFonts w:ascii="Times New Roman" w:eastAsia="Times New Roman" w:hAnsi="Times New Roman" w:cs="Times New Roman"/>
          <w:i/>
        </w:rPr>
        <w:t>msc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. Głażewo Święszki o długości 120 </w:t>
      </w:r>
      <w:proofErr w:type="spellStart"/>
      <w:r>
        <w:rPr>
          <w:rFonts w:ascii="Times New Roman" w:eastAsia="Times New Roman" w:hAnsi="Times New Roman" w:cs="Times New Roman"/>
          <w:i/>
        </w:rPr>
        <w:t>mb</w:t>
      </w:r>
      <w:proofErr w:type="spellEnd"/>
      <w:r>
        <w:rPr>
          <w:rFonts w:ascii="Times New Roman" w:eastAsia="Times New Roman" w:hAnsi="Times New Roman" w:cs="Times New Roman"/>
        </w:rPr>
        <w:t xml:space="preserve">.- 68.181,42 zł,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lastRenderedPageBreak/>
        <w:t xml:space="preserve">Przebudowa drogi gminnej Młynarze-Ogony </w:t>
      </w:r>
      <w:r>
        <w:rPr>
          <w:rFonts w:ascii="Times New Roman" w:eastAsia="Times New Roman" w:hAnsi="Times New Roman" w:cs="Times New Roman"/>
        </w:rPr>
        <w:t>brak wykonania, droga ta ma być w całości wykonana w 2020 roku przy współfinansowaniu  środków  z Funduszu Dróg Samorządowych, które to zostały otrzymane  na koniec roku 2019.</w:t>
      </w: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 xml:space="preserve">Gospodarka mieszkaniowa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-wydatki bieżące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 xml:space="preserve"> 47.500,00</w:t>
      </w:r>
      <w:r>
        <w:rPr>
          <w:rFonts w:ascii="Times New Roman" w:eastAsia="Times New Roman" w:hAnsi="Times New Roman" w:cs="Times New Roman"/>
        </w:rPr>
        <w:t xml:space="preserve"> zł, wykonanie </w:t>
      </w:r>
      <w:r>
        <w:rPr>
          <w:rFonts w:ascii="Times New Roman" w:eastAsia="Times New Roman" w:hAnsi="Times New Roman" w:cs="Times New Roman"/>
          <w:b/>
        </w:rPr>
        <w:t xml:space="preserve">37.580,12zł, </w:t>
      </w:r>
      <w:r>
        <w:rPr>
          <w:rFonts w:ascii="Times New Roman" w:eastAsia="Times New Roman" w:hAnsi="Times New Roman" w:cs="Times New Roman"/>
        </w:rPr>
        <w:t>tj. 79,12% wykonania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Są to koszty utrzymania (zakup opału, energii)  budynków mienia komunalnego. 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Działalność usługowa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i/>
          <w:u w:val="single"/>
        </w:rPr>
        <w:t>-wydatki bieżące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9.500,00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zł</w:t>
      </w:r>
      <w:r>
        <w:rPr>
          <w:rFonts w:ascii="Times New Roman" w:eastAsia="Times New Roman" w:hAnsi="Times New Roman" w:cs="Times New Roman"/>
        </w:rPr>
        <w:t xml:space="preserve"> wykonanie </w:t>
      </w:r>
      <w:r>
        <w:rPr>
          <w:rFonts w:ascii="Times New Roman" w:eastAsia="Times New Roman" w:hAnsi="Times New Roman" w:cs="Times New Roman"/>
          <w:b/>
        </w:rPr>
        <w:t xml:space="preserve">7.500,00  </w:t>
      </w:r>
      <w:r>
        <w:rPr>
          <w:rFonts w:ascii="Times New Roman" w:eastAsia="Times New Roman" w:hAnsi="Times New Roman" w:cs="Times New Roman"/>
        </w:rPr>
        <w:t>zł tj. 78,95 % wyk. Wydatki te są związane z przygotowaniem decyzji o warunkach zabudowy i prac geodezyjnych, kartograficznych.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Administracja publiczna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-wydatki bieżące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1.336.586,00</w:t>
      </w:r>
      <w:r>
        <w:rPr>
          <w:rFonts w:ascii="Times New Roman" w:eastAsia="Times New Roman" w:hAnsi="Times New Roman" w:cs="Times New Roman"/>
        </w:rPr>
        <w:t xml:space="preserve">  zł. wykonanie  </w:t>
      </w:r>
      <w:r>
        <w:rPr>
          <w:rFonts w:ascii="Times New Roman" w:eastAsia="Times New Roman" w:hAnsi="Times New Roman" w:cs="Times New Roman"/>
          <w:b/>
        </w:rPr>
        <w:t xml:space="preserve">1.245.077,19 </w:t>
      </w:r>
      <w:r>
        <w:rPr>
          <w:rFonts w:ascii="Times New Roman" w:eastAsia="Times New Roman" w:hAnsi="Times New Roman" w:cs="Times New Roman"/>
        </w:rPr>
        <w:t>zł, to jest  93,15% 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 zadania zlecone z zakresu administracji rządowej wydatkowano na wynagrodzenia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i pochodne  kwotę 29.678,57 zł, tj. 99,29%.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Rady Gminy</w:t>
      </w:r>
      <w:r>
        <w:rPr>
          <w:rFonts w:ascii="Times New Roman" w:eastAsia="Times New Roman" w:hAnsi="Times New Roman" w:cs="Times New Roman"/>
        </w:rPr>
        <w:t xml:space="preserve"> wydatkowano – 59.021,42  zł  tj. 98,37%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Urząd Gminy</w:t>
      </w:r>
      <w:r>
        <w:rPr>
          <w:rFonts w:ascii="Times New Roman" w:eastAsia="Times New Roman" w:hAnsi="Times New Roman" w:cs="Times New Roman"/>
        </w:rPr>
        <w:t xml:space="preserve">  . wykonanie 1.108.998,06 zł, tj. 94,86% wyk. w tym na -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wynagrodzenia i wynagrodzenia roczne  710.112,72 zł ,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wynagrodzenia bezosobowe 34.818,93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pochodne od wynagrodzeń   132.214,02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- wynagrodzenie agencyjno-prowizyjne (prowizja sołtysów) -3.305,00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Promocja jednostek samorządu terytorialnego</w:t>
      </w:r>
      <w:r>
        <w:rPr>
          <w:rFonts w:ascii="Times New Roman" w:eastAsia="Times New Roman" w:hAnsi="Times New Roman" w:cs="Times New Roman"/>
        </w:rPr>
        <w:t xml:space="preserve">  - 4.460,34 tj. 40,55% wyk.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Pozostała działalność</w:t>
      </w:r>
      <w:r>
        <w:rPr>
          <w:rFonts w:ascii="Times New Roman" w:eastAsia="Times New Roman" w:hAnsi="Times New Roman" w:cs="Times New Roman"/>
        </w:rPr>
        <w:t xml:space="preserve"> wykonanie 42.918,80 zł tj. 64,40 % wykonania. Są to wpłaty gmin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i powiatów na rzecz innych jednostek samorządu terytorialnego oraz związków gmin lub związków powiatów na dofinansowanie zadań bieżących 2.649,00 zł i na różne wydatki na rzecz osób fizycznych w kwocie 13.520,00zł - diety sołtysów za sesje Rady Gminy Młynarze.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wynagrodzenia wydatkowano  21.996,60zł i pochodne od wynagrodzeń 1287,58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i/>
          <w:u w:val="single"/>
        </w:rPr>
        <w:t>wydatki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115.000,00 zł</w:t>
      </w:r>
      <w:r>
        <w:rPr>
          <w:rFonts w:ascii="Times New Roman" w:eastAsia="Times New Roman" w:hAnsi="Times New Roman" w:cs="Times New Roman"/>
        </w:rPr>
        <w:t xml:space="preserve">, wydatkowano </w:t>
      </w:r>
      <w:r>
        <w:rPr>
          <w:rFonts w:ascii="Times New Roman" w:eastAsia="Times New Roman" w:hAnsi="Times New Roman" w:cs="Times New Roman"/>
          <w:b/>
        </w:rPr>
        <w:t>114.818,75</w:t>
      </w:r>
      <w:r>
        <w:rPr>
          <w:rFonts w:ascii="Times New Roman" w:eastAsia="Times New Roman" w:hAnsi="Times New Roman" w:cs="Times New Roman"/>
        </w:rPr>
        <w:t xml:space="preserve"> zł tj. 99,85%  na </w:t>
      </w:r>
      <w:r>
        <w:rPr>
          <w:rFonts w:ascii="Times New Roman" w:eastAsia="Times New Roman" w:hAnsi="Times New Roman" w:cs="Times New Roman"/>
          <w:i/>
        </w:rPr>
        <w:t>Remont budynku Urzędu Gminy Młynarze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 xml:space="preserve">Urzędy naczelnych organów władzy państwowej, kontroli i ochrony prawa oraz sądownictwa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i/>
          <w:u w:val="single"/>
        </w:rPr>
        <w:t>-</w:t>
      </w:r>
      <w:r>
        <w:rPr>
          <w:rFonts w:ascii="Times New Roman" w:eastAsia="Times New Roman" w:hAnsi="Times New Roman" w:cs="Times New Roman"/>
          <w:i/>
          <w:u w:val="single"/>
        </w:rPr>
        <w:t>wydatki bieżące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Plan </w:t>
      </w:r>
      <w:r>
        <w:rPr>
          <w:rFonts w:ascii="Times New Roman" w:eastAsia="Times New Roman" w:hAnsi="Times New Roman" w:cs="Times New Roman"/>
          <w:b/>
        </w:rPr>
        <w:t>29.434,00 zł</w:t>
      </w:r>
      <w:r>
        <w:rPr>
          <w:rFonts w:ascii="Times New Roman" w:eastAsia="Times New Roman" w:hAnsi="Times New Roman" w:cs="Times New Roman"/>
        </w:rPr>
        <w:t xml:space="preserve">  wydatkowano </w:t>
      </w:r>
      <w:r>
        <w:rPr>
          <w:rFonts w:ascii="Times New Roman" w:eastAsia="Times New Roman" w:hAnsi="Times New Roman" w:cs="Times New Roman"/>
          <w:b/>
        </w:rPr>
        <w:t>29.339,00</w:t>
      </w:r>
      <w:r>
        <w:rPr>
          <w:rFonts w:ascii="Times New Roman" w:eastAsia="Times New Roman" w:hAnsi="Times New Roman" w:cs="Times New Roman"/>
        </w:rPr>
        <w:t xml:space="preserve"> zł tj.  99,68%  -wydatki z zakresu zadań zleconych.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Wydatki te  przeznaczono na prowadzenie i aktualizację rejestru wyborców – 780,00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 wybory do Sejmu i Senatu wydatkowano – 14.361,00 zł,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wybory do rad gmin, rad powiatów i sejmików województw, wybory wójtów, burmistrzów i prezydentów miast oraz referenda gminne, powiatowe i wojewódzkie wydatkowano na podróże służbowe krajowe 300,00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Wybory do Parlamentu Europejskiego wydatkowano 13.898,00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Bezpieczeństwo publiczne i ochrona przeciwpożarowa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-wydatki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 </w:t>
      </w:r>
      <w:r>
        <w:rPr>
          <w:rFonts w:ascii="Times New Roman" w:eastAsia="Times New Roman" w:hAnsi="Times New Roman" w:cs="Times New Roman"/>
          <w:b/>
        </w:rPr>
        <w:t>162.292,00</w:t>
      </w:r>
      <w:r>
        <w:rPr>
          <w:rFonts w:ascii="Times New Roman" w:eastAsia="Times New Roman" w:hAnsi="Times New Roman" w:cs="Times New Roman"/>
        </w:rPr>
        <w:t xml:space="preserve"> zł. wykonanie  </w:t>
      </w:r>
      <w:r>
        <w:rPr>
          <w:rFonts w:ascii="Times New Roman" w:eastAsia="Times New Roman" w:hAnsi="Times New Roman" w:cs="Times New Roman"/>
          <w:b/>
        </w:rPr>
        <w:t xml:space="preserve">132.675,09  </w:t>
      </w:r>
      <w:r>
        <w:rPr>
          <w:rFonts w:ascii="Times New Roman" w:eastAsia="Times New Roman" w:hAnsi="Times New Roman" w:cs="Times New Roman"/>
        </w:rPr>
        <w:t>zł. tj.  81,75%  wykonania.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Ochotnicze Straże Pożarne wydatkowano 132.675,09 zł tj. 81,75%.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tym na: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-na wynagrodzenia , dodatkowe wynagrodzenie roczne wydatkowano 39.943,24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-pochodne od wynagrodzeń – 7.780,16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wynagrodzenia bezosobowe – 8.222,85 zł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-wydatki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 xml:space="preserve">Plan 232.000,00 zł, wykonanie 232.000,00 zł, na: Komendy Wojewódzkie Straży Pożarnej </w:t>
      </w:r>
      <w:r>
        <w:rPr>
          <w:rFonts w:ascii="Times New Roman" w:eastAsia="Times New Roman" w:hAnsi="Times New Roman" w:cs="Times New Roman"/>
          <w:i/>
        </w:rPr>
        <w:t>Modernizacja sieci elektroenergetycznej w budynku komendy w Makowie Mazowieckim (</w:t>
      </w:r>
      <w:r>
        <w:rPr>
          <w:rFonts w:ascii="Times New Roman" w:eastAsia="Times New Roman" w:hAnsi="Times New Roman" w:cs="Times New Roman"/>
        </w:rPr>
        <w:t>wpłaty jednostek na państwowy fundusz celowy na finansowanie lub dofinansowanie zadań inwestycyjnych)</w:t>
      </w:r>
      <w:r>
        <w:rPr>
          <w:rFonts w:ascii="Times New Roman" w:eastAsia="Times New Roman" w:hAnsi="Times New Roman" w:cs="Times New Roman"/>
          <w:i/>
        </w:rPr>
        <w:t xml:space="preserve"> -15.000,00 zł,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Wpłata na Fundusz Wsparcia Policji Województwa Mazowieckiego z przeznaczeniem na zakup samochodu osobowego w policyjnej wersji "oznakowany – 17.000,00 zł,(</w:t>
      </w:r>
      <w:r>
        <w:rPr>
          <w:rFonts w:ascii="Times New Roman" w:eastAsia="Times New Roman" w:hAnsi="Times New Roman" w:cs="Times New Roman"/>
        </w:rPr>
        <w:t xml:space="preserve"> wpłaty jednostek na państwowy fundusz celowy na finansowanie lub dofinansowanie zadań inwestycyjnych)</w:t>
      </w:r>
      <w:r>
        <w:rPr>
          <w:rFonts w:ascii="Times New Roman" w:eastAsia="Times New Roman" w:hAnsi="Times New Roman" w:cs="Times New Roman"/>
          <w:i/>
        </w:rPr>
        <w:t xml:space="preserve">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Zakup nowego lekkiego samochodu ratowniczo-gaśniczego dla Ochotniczej Straży Pożarnej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w Rupinie – 200.000,00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</w:rPr>
        <w:t>Obsługa długu publicznego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  <w:u w:val="single"/>
        </w:rPr>
        <w:t>-</w:t>
      </w:r>
      <w:r>
        <w:rPr>
          <w:rFonts w:ascii="Times New Roman" w:eastAsia="Times New Roman" w:hAnsi="Times New Roman" w:cs="Times New Roman"/>
          <w:i/>
          <w:u w:val="single"/>
        </w:rPr>
        <w:t>wydatki bieżące</w:t>
      </w:r>
      <w:r>
        <w:rPr>
          <w:rFonts w:ascii="Times New Roman" w:eastAsia="Times New Roman" w:hAnsi="Times New Roman" w:cs="Times New Roman"/>
        </w:rPr>
        <w:t xml:space="preserve">: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7.000,00 zł</w:t>
      </w:r>
      <w:r>
        <w:rPr>
          <w:rFonts w:ascii="Times New Roman" w:eastAsia="Times New Roman" w:hAnsi="Times New Roman" w:cs="Times New Roman"/>
        </w:rPr>
        <w:t xml:space="preserve"> wykonanie 4.444,45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zł tj. 63,49% wykonania. Są to odsetki od kredytu uzyskanego w latach poprzednich.</w:t>
      </w:r>
    </w:p>
    <w:p w:rsidR="0000592B" w:rsidRDefault="0000592B">
      <w:pPr>
        <w:tabs>
          <w:tab w:val="left" w:pos="864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864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Różne rozliczenia</w:t>
      </w:r>
    </w:p>
    <w:p w:rsidR="0000592B" w:rsidRDefault="00EE52F3">
      <w:pPr>
        <w:tabs>
          <w:tab w:val="left" w:pos="864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i/>
          <w:u w:val="single"/>
        </w:rPr>
        <w:t xml:space="preserve">- </w:t>
      </w:r>
      <w:r>
        <w:rPr>
          <w:rFonts w:ascii="Times New Roman" w:eastAsia="Times New Roman" w:hAnsi="Times New Roman" w:cs="Times New Roman"/>
          <w:i/>
          <w:u w:val="single"/>
        </w:rPr>
        <w:t>wydatki bieżące:</w:t>
      </w:r>
      <w:r>
        <w:rPr>
          <w:rFonts w:ascii="Times New Roman" w:eastAsia="Times New Roman" w:hAnsi="Times New Roman" w:cs="Times New Roman"/>
          <w:b/>
          <w:i/>
          <w:u w:val="single"/>
        </w:rPr>
        <w:t xml:space="preserve">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44.500,00</w:t>
      </w:r>
      <w:r>
        <w:rPr>
          <w:rFonts w:ascii="Times New Roman" w:eastAsia="Times New Roman" w:hAnsi="Times New Roman" w:cs="Times New Roman"/>
        </w:rPr>
        <w:t xml:space="preserve"> zł wykonanie  </w:t>
      </w:r>
      <w:r>
        <w:rPr>
          <w:rFonts w:ascii="Times New Roman" w:eastAsia="Times New Roman" w:hAnsi="Times New Roman" w:cs="Times New Roman"/>
          <w:b/>
        </w:rPr>
        <w:t>12.281,96 zł</w:t>
      </w:r>
      <w:r>
        <w:rPr>
          <w:rFonts w:ascii="Times New Roman" w:eastAsia="Times New Roman" w:hAnsi="Times New Roman" w:cs="Times New Roman"/>
        </w:rPr>
        <w:t xml:space="preserve">  tj. 27,60  % wykonania.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lastRenderedPageBreak/>
        <w:t>Są to wydatki związane z utrzymaniem rachunków bankowych, jak również w tym dziale zaplanowano rezerwy ogólne i celowe, w których jest brak wykonania.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Oświata i wychowanie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wydatki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Plan  </w:t>
      </w:r>
      <w:r>
        <w:rPr>
          <w:rFonts w:ascii="Times New Roman" w:eastAsia="Times New Roman" w:hAnsi="Times New Roman" w:cs="Times New Roman"/>
          <w:b/>
        </w:rPr>
        <w:t xml:space="preserve">2.846.238,99 </w:t>
      </w:r>
      <w:r>
        <w:rPr>
          <w:rFonts w:ascii="Times New Roman" w:eastAsia="Times New Roman" w:hAnsi="Times New Roman" w:cs="Times New Roman"/>
        </w:rPr>
        <w:t xml:space="preserve">zł wykonanie  </w:t>
      </w:r>
      <w:r>
        <w:rPr>
          <w:rFonts w:ascii="Times New Roman" w:eastAsia="Times New Roman" w:hAnsi="Times New Roman" w:cs="Times New Roman"/>
          <w:b/>
        </w:rPr>
        <w:t xml:space="preserve">2.732.309,70 </w:t>
      </w:r>
      <w:r>
        <w:rPr>
          <w:rFonts w:ascii="Times New Roman" w:eastAsia="Times New Roman" w:hAnsi="Times New Roman" w:cs="Times New Roman"/>
        </w:rPr>
        <w:t>zł tj.  96,00 %  w tym wykonanie: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Szkoła Podstawowa</w:t>
      </w:r>
      <w:r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  <w:b/>
        </w:rPr>
        <w:t xml:space="preserve">1.394.267,35 tj. 94,99% </w:t>
      </w:r>
      <w:r>
        <w:rPr>
          <w:rFonts w:ascii="Times New Roman" w:eastAsia="Times New Roman" w:hAnsi="Times New Roman" w:cs="Times New Roman"/>
        </w:rPr>
        <w:t>planu. Są to wydatki związane z utrzymaniem i funkcjonowaniem szkoły m.in.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na wynagrodzenia osobowe i dodatkowe wynagrodzenie roczne wydatkowano –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896.437,68 zł,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wynagrodzenie bezosobowe 1.243,20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wydatki niezaliczone do wynagrodzeń 59.950,87 zł,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wydatki na składki na ubezpieczenie społeczne i FP – 162.802,36 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Oddział przedszkolny w szkole podstawowej</w:t>
      </w:r>
      <w:r>
        <w:rPr>
          <w:rFonts w:ascii="Times New Roman" w:eastAsia="Times New Roman" w:hAnsi="Times New Roman" w:cs="Times New Roman"/>
        </w:rPr>
        <w:t xml:space="preserve">  - wykonanie 83.715,63 zł tj. 96,35% planu. Wydatki te są  związane z utrzymaniem i funkcjonowaniem oddziałem przedszkolnym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tym: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-wydatki osobowe niezaliczone do wynagrodzeń 4.062,11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-wynagrodzenie osobowe pracowników i dodatkowe wynagrodzenie roczne 61.393,39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składki na ubezpieczenie społeczne i FP  - 11.866,17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Przedszkola</w:t>
      </w:r>
      <w:r>
        <w:rPr>
          <w:rFonts w:ascii="Times New Roman" w:eastAsia="Times New Roman" w:hAnsi="Times New Roman" w:cs="Times New Roman"/>
        </w:rPr>
        <w:t xml:space="preserve"> – wykonanie 275.153,33 zł tj. 97,65% planu. Są to wydatki związane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 utrzymaniem i funkcjonowaniem przedszkola m.in. na: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wydatki osobowe niezaliczone do wynagrodzeń 10.337,70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wynagrodzenie osobowe pracowników i dodatkowe wynagrodzenie roczne 194.591,19 zł,                             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- składki na ubezpieczenie społeczne i FP –  36.224,92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Gimnazja</w:t>
      </w:r>
      <w:r>
        <w:rPr>
          <w:rFonts w:ascii="Times New Roman" w:eastAsia="Times New Roman" w:hAnsi="Times New Roman" w:cs="Times New Roman"/>
        </w:rPr>
        <w:t xml:space="preserve"> – wykonanie 423.009,17 zł. tj. 100,00% planu. Wydatki te są związane z utrzymaniem i funkcjonowaniem gimnazjum w tym na: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wydatki osobowe niezaliczone do wynagrodzeń – 14.803,11 zł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wynagrodzenie osobowe pracowników i dodatkowe wynagrodzenie roczne -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261.791,73 zł,</w:t>
      </w:r>
    </w:p>
    <w:p w:rsidR="0000592B" w:rsidRDefault="00EE52F3">
      <w:pPr>
        <w:numPr>
          <w:ilvl w:val="0"/>
          <w:numId w:val="1"/>
        </w:numPr>
        <w:tabs>
          <w:tab w:val="left" w:pos="720"/>
        </w:tabs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</w:rPr>
        <w:t>składki na ubezpieczenie społeczne i FP – 52.563,86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Dowożenie uczniów do szkół</w:t>
      </w:r>
      <w:r>
        <w:rPr>
          <w:rFonts w:ascii="Times New Roman" w:eastAsia="Times New Roman" w:hAnsi="Times New Roman" w:cs="Times New Roman"/>
        </w:rPr>
        <w:t xml:space="preserve"> – wykonanie 128.017,70zł, zł. tj. 90,54%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Są to wydatki związane z zakupem biletów miesięcznych dla uczniów do szkół i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opieką uczniów w czasie dowozu uczniów do szkoły i drogę powrotną do domu, wynagrodzenia osobowe  pracowników i dodatkowe wynagrodzenie roczne -28.014,17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- składki na ubezpieczenie społeczne i FP – 3.693,89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Dokształcanie i doskonalenie nauczycieli</w:t>
      </w:r>
      <w:r>
        <w:rPr>
          <w:rFonts w:ascii="Times New Roman" w:eastAsia="Times New Roman" w:hAnsi="Times New Roman" w:cs="Times New Roman"/>
        </w:rPr>
        <w:t xml:space="preserve"> – 7.820,31 zł tj. 79,79%.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Stołówki szkolne i przedszkolne</w:t>
      </w:r>
      <w:r>
        <w:rPr>
          <w:rFonts w:ascii="Times New Roman" w:eastAsia="Times New Roman" w:hAnsi="Times New Roman" w:cs="Times New Roman"/>
        </w:rPr>
        <w:t xml:space="preserve">  – wykonanie 58.765,92 zł tj.93,28% wyk..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Realizacja zadań wymagających stosowania specjalnej organizacji nauki i metod pracy dla dzieci i młodzieży w szkołach podstawowych, gimnazjach, liceach ogólnokształcących, liceach profilowanych i szkołach zawodowych oraz szkołach artystycznych - </w:t>
      </w:r>
      <w:r>
        <w:rPr>
          <w:rFonts w:ascii="Times New Roman" w:eastAsia="Times New Roman" w:hAnsi="Times New Roman" w:cs="Times New Roman"/>
        </w:rPr>
        <w:t>wykonanie 218.341,00 zł, tj. 100,00%, w tym: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-na wynagrodzenia wydatkowano  i dodatkowe wynagrodzenie roczne 137.810,00 zł, na pochodne od wynagrodzeń  28.645,00 zł.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Zapewnienie uczniom prawa do bezpłatnego dostępu do podręczników, materiałów edukacyjnych lub materiałów ćwiczeniowych(z. zlecone)- </w:t>
      </w:r>
      <w:r>
        <w:rPr>
          <w:rFonts w:ascii="Times New Roman" w:eastAsia="Times New Roman" w:hAnsi="Times New Roman" w:cs="Times New Roman"/>
        </w:rPr>
        <w:t>14.335,20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Pozostała działalność</w:t>
      </w:r>
      <w:r>
        <w:rPr>
          <w:rFonts w:ascii="Times New Roman" w:eastAsia="Times New Roman" w:hAnsi="Times New Roman" w:cs="Times New Roman"/>
        </w:rPr>
        <w:t xml:space="preserve"> - zadanie </w:t>
      </w:r>
      <w:r>
        <w:rPr>
          <w:rFonts w:ascii="Times New Roman" w:eastAsia="Times New Roman" w:hAnsi="Times New Roman" w:cs="Times New Roman"/>
          <w:i/>
        </w:rPr>
        <w:t>Inwestujemy w naszą przyszłość</w:t>
      </w:r>
      <w:r>
        <w:rPr>
          <w:rFonts w:ascii="Times New Roman" w:eastAsia="Times New Roman" w:hAnsi="Times New Roman" w:cs="Times New Roman"/>
        </w:rPr>
        <w:t xml:space="preserve"> - Podwyższenie poziomu kompetencji kluczowych uczniów  oraz postaw niezbędnych na rynku pracy, oraz podniesienie kompetencji nauczycieli w zakresie metod i form sprzyjających kształt. i rozwijaniu u uczniów wykonanie -128.884,09 zł, w tym na wynagrodzenia osobowe i bezosobowe – 50.783,56 zł, i pochodne od wynagrodzeń 8.640,58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i/>
          <w:u w:val="single"/>
        </w:rPr>
        <w:t>wydatki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Pozostała działalność zadanie </w:t>
      </w:r>
      <w:r>
        <w:rPr>
          <w:rFonts w:ascii="Times New Roman" w:eastAsia="Times New Roman" w:hAnsi="Times New Roman" w:cs="Times New Roman"/>
          <w:i/>
        </w:rPr>
        <w:t>Inwestujemy w naszą przyszłość</w:t>
      </w:r>
      <w:r>
        <w:rPr>
          <w:rFonts w:ascii="Times New Roman" w:eastAsia="Times New Roman" w:hAnsi="Times New Roman" w:cs="Times New Roman"/>
        </w:rPr>
        <w:t xml:space="preserve"> - Podwyższenie poziomu kompetencji kluczowych uczniów  oraz postaw niezbędnych na rynku pracy, oraz podniesienie kompetencji nauczycieli w zakresie metod i form sprzyjających kształt. i rozwijaniu u uczniów wykonanie - 37.049,91 zł, na zakup Magicznej tablicy i zakup trzech tablic interaktywnych.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Ochrona zdrowia</w:t>
      </w: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-wydatki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Plan</w:t>
      </w:r>
      <w:r>
        <w:rPr>
          <w:rFonts w:ascii="Times New Roman" w:eastAsia="Times New Roman" w:hAnsi="Times New Roman" w:cs="Times New Roman"/>
          <w:b/>
        </w:rPr>
        <w:t xml:space="preserve"> 25.957,00 zł,  </w:t>
      </w:r>
      <w:r>
        <w:rPr>
          <w:rFonts w:ascii="Times New Roman" w:eastAsia="Times New Roman" w:hAnsi="Times New Roman" w:cs="Times New Roman"/>
        </w:rPr>
        <w:t>wykonanie</w:t>
      </w:r>
      <w:r>
        <w:rPr>
          <w:rFonts w:ascii="Times New Roman" w:eastAsia="Times New Roman" w:hAnsi="Times New Roman" w:cs="Times New Roman"/>
          <w:b/>
        </w:rPr>
        <w:t xml:space="preserve">  25.252,95 zł,  </w:t>
      </w:r>
      <w:r>
        <w:rPr>
          <w:rFonts w:ascii="Times New Roman" w:eastAsia="Times New Roman" w:hAnsi="Times New Roman" w:cs="Times New Roman"/>
        </w:rPr>
        <w:t>tj.  97,29 %  wykonania.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Zwalczanie narkomanii</w:t>
      </w:r>
      <w:r>
        <w:rPr>
          <w:rFonts w:ascii="Times New Roman" w:eastAsia="Times New Roman" w:hAnsi="Times New Roman" w:cs="Times New Roman"/>
        </w:rPr>
        <w:t>: ogółem  wydatkowano kwotę  5.199,00 zł tj. 94,85% planu.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Wydatkowano na pozalekcyjne zajęcia sportowe z elementami profilaktyki dla uczniów  SP i PG Młynarze - umowy zlecenia dla nauczycieli prowadzących zajęcia i pozalekcyjne zajęcia sportowe z elementami profilaktyki dla młodzieży szkół ponadgimnazjalnych nauczycieli 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Przeciwdziałanie alkoholizmowi</w:t>
      </w:r>
      <w:r>
        <w:rPr>
          <w:rFonts w:ascii="Times New Roman" w:eastAsia="Times New Roman" w:hAnsi="Times New Roman" w:cs="Times New Roman"/>
        </w:rPr>
        <w:t>: wydatkowano 20.053,95 zł tj. 97,94% planu.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ramach programu upowszechniano materiały informacyjno – edukacyjne z zakresu przemocy, alkoholizmu . W Gminnej Komisji ds. Profilaktyki i Rozwiązywania Problemów Alkoholowych działał zespół interwencyjny, motywujący osoby z problemem alkoholowym do podjęcia leczenia odwykowego.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1008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Pomoc społeczna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-wydatki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 </w:t>
      </w:r>
      <w:r>
        <w:rPr>
          <w:rFonts w:ascii="Times New Roman" w:eastAsia="Times New Roman" w:hAnsi="Times New Roman" w:cs="Times New Roman"/>
          <w:b/>
        </w:rPr>
        <w:t>335.425,00</w:t>
      </w:r>
      <w:r>
        <w:rPr>
          <w:rFonts w:ascii="Times New Roman" w:eastAsia="Times New Roman" w:hAnsi="Times New Roman" w:cs="Times New Roman"/>
        </w:rPr>
        <w:t xml:space="preserve"> zł, wykonanie </w:t>
      </w:r>
      <w:r>
        <w:rPr>
          <w:rFonts w:ascii="Times New Roman" w:eastAsia="Times New Roman" w:hAnsi="Times New Roman" w:cs="Times New Roman"/>
          <w:b/>
        </w:rPr>
        <w:t xml:space="preserve">318.208,20 </w:t>
      </w:r>
      <w:r>
        <w:rPr>
          <w:rFonts w:ascii="Times New Roman" w:eastAsia="Times New Roman" w:hAnsi="Times New Roman" w:cs="Times New Roman"/>
        </w:rPr>
        <w:t>zł tj.  94,87%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Rozdz.</w:t>
      </w:r>
      <w:r>
        <w:rPr>
          <w:rFonts w:ascii="Times New Roman" w:eastAsia="Times New Roman" w:hAnsi="Times New Roman" w:cs="Times New Roman"/>
          <w:b/>
        </w:rPr>
        <w:t>85205</w:t>
      </w:r>
      <w:r>
        <w:rPr>
          <w:rFonts w:ascii="Times New Roman" w:eastAsia="Times New Roman" w:hAnsi="Times New Roman" w:cs="Times New Roman"/>
        </w:rPr>
        <w:t xml:space="preserve"> zadania w zakresie przeciwdziałania przemocy w rodzinie wykonanie – 800,59 zł, tj. 95,31%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Rozdz.  </w:t>
      </w:r>
      <w:r>
        <w:rPr>
          <w:rFonts w:ascii="Times New Roman" w:eastAsia="Times New Roman" w:hAnsi="Times New Roman" w:cs="Times New Roman"/>
          <w:b/>
        </w:rPr>
        <w:t>85213 –</w:t>
      </w:r>
      <w:r>
        <w:rPr>
          <w:rFonts w:ascii="Times New Roman" w:eastAsia="Times New Roman" w:hAnsi="Times New Roman" w:cs="Times New Roman"/>
        </w:rPr>
        <w:t>Składki na ubezpieczenia zdrowotne  opłacane za osoby pobierające niektóre świadczenia z pomocy społecznej – 2.104,71zł, tj. 99,99 %.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Rozdz</w:t>
      </w:r>
      <w:r>
        <w:rPr>
          <w:rFonts w:ascii="Times New Roman" w:eastAsia="Times New Roman" w:hAnsi="Times New Roman" w:cs="Times New Roman"/>
          <w:b/>
        </w:rPr>
        <w:t>. 85214</w:t>
      </w:r>
      <w:r>
        <w:rPr>
          <w:rFonts w:ascii="Times New Roman" w:eastAsia="Times New Roman" w:hAnsi="Times New Roman" w:cs="Times New Roman"/>
        </w:rPr>
        <w:t xml:space="preserve"> –Zasiłki i pomoc w naturze wydatkowano 10.041,07 zł, tj. 73,30% 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Rozdz. </w:t>
      </w:r>
      <w:r>
        <w:rPr>
          <w:rFonts w:ascii="Times New Roman" w:eastAsia="Times New Roman" w:hAnsi="Times New Roman" w:cs="Times New Roman"/>
          <w:b/>
        </w:rPr>
        <w:t>85216</w:t>
      </w:r>
      <w:r>
        <w:rPr>
          <w:rFonts w:ascii="Times New Roman" w:eastAsia="Times New Roman" w:hAnsi="Times New Roman" w:cs="Times New Roman"/>
        </w:rPr>
        <w:t xml:space="preserve"> –Zasiłki stałe wykonanie 23.386,00 zł – 100,00%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Rozdz</w:t>
      </w:r>
      <w:r>
        <w:rPr>
          <w:rFonts w:ascii="Times New Roman" w:eastAsia="Times New Roman" w:hAnsi="Times New Roman" w:cs="Times New Roman"/>
          <w:b/>
        </w:rPr>
        <w:t>. 85219</w:t>
      </w:r>
      <w:r>
        <w:rPr>
          <w:rFonts w:ascii="Times New Roman" w:eastAsia="Times New Roman" w:hAnsi="Times New Roman" w:cs="Times New Roman"/>
        </w:rPr>
        <w:t xml:space="preserve"> - Ośrodki pomocy społecznej wydatkowano </w:t>
      </w:r>
      <w:r>
        <w:rPr>
          <w:rFonts w:ascii="Times New Roman" w:eastAsia="Times New Roman" w:hAnsi="Times New Roman" w:cs="Times New Roman"/>
          <w:b/>
        </w:rPr>
        <w:t>256.896,33</w:t>
      </w:r>
      <w:r>
        <w:rPr>
          <w:rFonts w:ascii="Times New Roman" w:eastAsia="Times New Roman" w:hAnsi="Times New Roman" w:cs="Times New Roman"/>
        </w:rPr>
        <w:t xml:space="preserve"> zł  tj. 96,87% są to wydatki na bieżące utrzymanie Gminnego Ośrodka Pomocy Społeczne w tym: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-wynagrodzenia osobowe pracowników i dodatkowe wynagrodzenie roczne 188.467,00 zł. - składki na ubezpieczenie społeczne i FP – 33.773,48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Rozdz</w:t>
      </w:r>
      <w:r>
        <w:rPr>
          <w:rFonts w:ascii="Times New Roman" w:eastAsia="Times New Roman" w:hAnsi="Times New Roman" w:cs="Times New Roman"/>
          <w:b/>
        </w:rPr>
        <w:t>.85228</w:t>
      </w:r>
      <w:r>
        <w:rPr>
          <w:rFonts w:ascii="Times New Roman" w:eastAsia="Times New Roman" w:hAnsi="Times New Roman" w:cs="Times New Roman"/>
        </w:rPr>
        <w:t xml:space="preserve"> – Usługi opiekuńcze i specjalistyczne usługi opiekuńcze  8.702,53 zł tj. 78,89%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Rozdz. </w:t>
      </w:r>
      <w:r>
        <w:rPr>
          <w:rFonts w:ascii="Times New Roman" w:eastAsia="Times New Roman" w:hAnsi="Times New Roman" w:cs="Times New Roman"/>
          <w:b/>
        </w:rPr>
        <w:t>85230</w:t>
      </w:r>
      <w:r>
        <w:rPr>
          <w:rFonts w:ascii="Times New Roman" w:eastAsia="Times New Roman" w:hAnsi="Times New Roman" w:cs="Times New Roman"/>
        </w:rPr>
        <w:t xml:space="preserve"> Pomoc w zakresie dożywiania – 16.277,40 zł tj. 94,94%.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Rozdział </w:t>
      </w:r>
      <w:r>
        <w:rPr>
          <w:rFonts w:ascii="Times New Roman" w:eastAsia="Times New Roman" w:hAnsi="Times New Roman" w:cs="Times New Roman"/>
          <w:b/>
        </w:rPr>
        <w:t>85295</w:t>
      </w:r>
      <w:r>
        <w:rPr>
          <w:rFonts w:ascii="Times New Roman" w:eastAsia="Times New Roman" w:hAnsi="Times New Roman" w:cs="Times New Roman"/>
        </w:rPr>
        <w:t xml:space="preserve"> –Pozostała działalność wykonanie - brak wykonania.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Edukacyjna opieka wychowawcza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wydatki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26.525,00</w:t>
      </w:r>
      <w:r>
        <w:rPr>
          <w:rFonts w:ascii="Times New Roman" w:eastAsia="Times New Roman" w:hAnsi="Times New Roman" w:cs="Times New Roman"/>
        </w:rPr>
        <w:t xml:space="preserve"> zł  -  wykonanie 5.398,00 zł. tj. 20,35%. 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Rodzina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i/>
          <w:u w:val="single"/>
        </w:rPr>
        <w:t>wydatki bieżące (zadania zlecone)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2.568.543,00</w:t>
      </w:r>
      <w:r>
        <w:rPr>
          <w:rFonts w:ascii="Times New Roman" w:eastAsia="Times New Roman" w:hAnsi="Times New Roman" w:cs="Times New Roman"/>
        </w:rPr>
        <w:t xml:space="preserve"> zł, wykonanie </w:t>
      </w:r>
      <w:r>
        <w:rPr>
          <w:rFonts w:ascii="Times New Roman" w:eastAsia="Times New Roman" w:hAnsi="Times New Roman" w:cs="Times New Roman"/>
          <w:b/>
        </w:rPr>
        <w:t>2.564.155,83</w:t>
      </w:r>
      <w:r>
        <w:rPr>
          <w:rFonts w:ascii="Times New Roman" w:eastAsia="Times New Roman" w:hAnsi="Times New Roman" w:cs="Times New Roman"/>
        </w:rPr>
        <w:t xml:space="preserve"> zł tj. 99,83%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Rozdz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b/>
        </w:rPr>
        <w:t>85501</w:t>
      </w:r>
      <w:r>
        <w:rPr>
          <w:rFonts w:ascii="Times New Roman" w:eastAsia="Times New Roman" w:hAnsi="Times New Roman" w:cs="Times New Roman"/>
        </w:rPr>
        <w:t xml:space="preserve"> świadczenia wychowawcze wykonanie 1.756.283,40 zł, tj.99,99% wyk, w tym: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na wypłatę świadczeń z tytułu 500+ przeznaczono 1.733.015,40 zł, na wynagrodzenia osobowe i dodatkowe wynagrodzenie roczne pracownika obsługującego 500+ wydatkowano 18.748,95 zł i na pochodne od wynagrodzeń wydatkowano 3.810,76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Rozdz.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85502 </w:t>
      </w:r>
      <w:r>
        <w:rPr>
          <w:rFonts w:ascii="Times New Roman" w:eastAsia="Times New Roman" w:hAnsi="Times New Roman" w:cs="Times New Roman"/>
        </w:rPr>
        <w:t>–  wykonanie 734.206,74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zł tj. 99,44% planu wydatki te są z zakresu zadań zleconych. Są to m.in. świadczenia rodzinne,  fundusz alimentacyjny  oraz składki na ubezpieczenia emerytalne i rentowe z ubezpieczenia społecznego, obsługę świadczeń rodzinnych oraz świadczeń  funduszu alimentacyjnego. W tym: wynagrodzenie  i dodatkowe wynagrodzenie roczne – 17.107,60 zł , składki ZUS 34.025,46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Rozdz. 85503 </w:t>
      </w:r>
      <w:r>
        <w:rPr>
          <w:rFonts w:ascii="Times New Roman" w:eastAsia="Times New Roman" w:hAnsi="Times New Roman" w:cs="Times New Roman"/>
        </w:rPr>
        <w:t xml:space="preserve">Karta dużej rodziny wykonanie 277,95 zł.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Rozdz. 85504</w:t>
      </w:r>
      <w:r>
        <w:rPr>
          <w:rFonts w:ascii="Times New Roman" w:eastAsia="Times New Roman" w:hAnsi="Times New Roman" w:cs="Times New Roman"/>
        </w:rPr>
        <w:t xml:space="preserve"> Wspieranie rodziny – 69.129,24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Rozdz. 85513</w:t>
      </w:r>
      <w:r>
        <w:rPr>
          <w:rFonts w:ascii="Times New Roman" w:eastAsia="Times New Roman" w:hAnsi="Times New Roman" w:cs="Times New Roman"/>
        </w:rPr>
        <w:t xml:space="preserve"> 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 – 4.258,50 zł tj. 97,43%</w:t>
      </w:r>
    </w:p>
    <w:p w:rsidR="0000592B" w:rsidRDefault="0000592B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Gospodarka komunalna i ochrona środowiska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- wydatki bieżące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 </w:t>
      </w:r>
      <w:r>
        <w:rPr>
          <w:rFonts w:ascii="Times New Roman" w:eastAsia="Times New Roman" w:hAnsi="Times New Roman" w:cs="Times New Roman"/>
          <w:b/>
        </w:rPr>
        <w:t>518.818,00</w:t>
      </w:r>
      <w:r>
        <w:rPr>
          <w:rFonts w:ascii="Times New Roman" w:eastAsia="Times New Roman" w:hAnsi="Times New Roman" w:cs="Times New Roman"/>
        </w:rPr>
        <w:t xml:space="preserve"> zł wykonanie </w:t>
      </w:r>
      <w:r>
        <w:rPr>
          <w:rFonts w:ascii="Times New Roman" w:eastAsia="Times New Roman" w:hAnsi="Times New Roman" w:cs="Times New Roman"/>
          <w:b/>
        </w:rPr>
        <w:t xml:space="preserve">483.728,83 </w:t>
      </w:r>
      <w:r>
        <w:rPr>
          <w:rFonts w:ascii="Times New Roman" w:eastAsia="Times New Roman" w:hAnsi="Times New Roman" w:cs="Times New Roman"/>
        </w:rPr>
        <w:t>zł tj. 93,24 %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rozdziale Gospodarka odpadami wydatkowano  – 259.831,28 zł, w tym na odbiór i zagospodarowanie odpadami 238.857,58 zł wynagrodzenie pracownika obsługującego gospodarkę odpadami komunalnymi -17.000,00 zł i pochodne od wynagrodzeń 3.617,00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utrzymanie zieleni w miastach i gminach wydatkowano - wydatkowano 229,11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oświetlenie, konserwację,  usługi pozostałe związane z oświetleniem wydatkowano 114.417,10 zł, na pozostałą działalność  związaną z gospodarką odpadami wydatkowano 15.506,34 zł. i pozostała działalność 94.045,00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u w:val="single"/>
        </w:rPr>
      </w:pPr>
      <w:r>
        <w:rPr>
          <w:rFonts w:ascii="Times New Roman" w:eastAsia="Times New Roman" w:hAnsi="Times New Roman" w:cs="Times New Roman"/>
          <w:i/>
          <w:u w:val="single"/>
        </w:rPr>
        <w:t>wydatki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>Plan 26.500,00 zł, wykonanie 26.445,00 zł, tj. 99,80%  na</w:t>
      </w:r>
      <w:r>
        <w:rPr>
          <w:rFonts w:ascii="Times New Roman" w:eastAsia="Times New Roman" w:hAnsi="Times New Roman" w:cs="Times New Roman"/>
          <w:i/>
        </w:rPr>
        <w:t xml:space="preserve"> Rozbudowa linii oświetlenia ulicznego oraz wymiana istniejących lamp na </w:t>
      </w:r>
      <w:proofErr w:type="spellStart"/>
      <w:r>
        <w:rPr>
          <w:rFonts w:ascii="Times New Roman" w:eastAsia="Times New Roman" w:hAnsi="Times New Roman" w:cs="Times New Roman"/>
          <w:i/>
        </w:rPr>
        <w:t>ledowe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w miejscowości Długołęka Wielka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Kultura i ochrona dziedzictwa narodowego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wydatki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144.000,00</w:t>
      </w:r>
      <w:r>
        <w:rPr>
          <w:rFonts w:ascii="Times New Roman" w:eastAsia="Times New Roman" w:hAnsi="Times New Roman" w:cs="Times New Roman"/>
        </w:rPr>
        <w:t xml:space="preserve"> zł wykonanie  </w:t>
      </w:r>
      <w:r>
        <w:rPr>
          <w:rFonts w:ascii="Times New Roman" w:eastAsia="Times New Roman" w:hAnsi="Times New Roman" w:cs="Times New Roman"/>
          <w:b/>
        </w:rPr>
        <w:t>125.665,90 zł,</w:t>
      </w:r>
      <w:r>
        <w:rPr>
          <w:rFonts w:ascii="Times New Roman" w:eastAsia="Times New Roman" w:hAnsi="Times New Roman" w:cs="Times New Roman"/>
        </w:rPr>
        <w:t xml:space="preserve">  tj. 87,27% W tym: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 świetlice wiejskie wydatkowano 6.665,90zł,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dotacja podmiotowa  na bieżące utrzymanie dla Gminnej Biblioteki Publicznej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Młynarzach – 119.000,00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wydatki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Plan </w:t>
      </w:r>
      <w:r>
        <w:rPr>
          <w:rFonts w:ascii="Times New Roman" w:eastAsia="Times New Roman" w:hAnsi="Times New Roman" w:cs="Times New Roman"/>
          <w:b/>
        </w:rPr>
        <w:t>164.560,15 zł</w:t>
      </w:r>
      <w:r>
        <w:rPr>
          <w:rFonts w:ascii="Times New Roman" w:eastAsia="Times New Roman" w:hAnsi="Times New Roman" w:cs="Times New Roman"/>
        </w:rPr>
        <w:t xml:space="preserve">, wykonanie </w:t>
      </w:r>
      <w:r>
        <w:rPr>
          <w:rFonts w:ascii="Times New Roman" w:eastAsia="Times New Roman" w:hAnsi="Times New Roman" w:cs="Times New Roman"/>
          <w:b/>
        </w:rPr>
        <w:t>161.443,19 zł</w:t>
      </w:r>
      <w:r>
        <w:rPr>
          <w:rFonts w:ascii="Times New Roman" w:eastAsia="Times New Roman" w:hAnsi="Times New Roman" w:cs="Times New Roman"/>
        </w:rPr>
        <w:t xml:space="preserve"> tj.  98,11% na: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Remont pomieszczenia budynku świetlicy wiejskiej w Gierwatach z przeznaczeniem na łazienki</w:t>
      </w:r>
      <w:r>
        <w:rPr>
          <w:rFonts w:ascii="Times New Roman" w:eastAsia="Times New Roman" w:hAnsi="Times New Roman" w:cs="Times New Roman"/>
        </w:rPr>
        <w:t xml:space="preserve"> – 24.608,49 zł współfinansowana  dotacją celowa otrzymana z tytułu pomocy finansowej udzielanej między jednostkami samorządu terytorialnego na dofinansowanie własnych zadań inwestycyjnych i zakupów inwestycyjnych w kwocie 10.000,00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Remont sali głównej świetlicy wiejskiej w miejscowości Sadykierz</w:t>
      </w:r>
      <w:r>
        <w:rPr>
          <w:rFonts w:ascii="Times New Roman" w:eastAsia="Times New Roman" w:hAnsi="Times New Roman" w:cs="Times New Roman"/>
        </w:rPr>
        <w:t xml:space="preserve"> – 21.200,00 zł, współfinansowana dotacją celową otrzymaną z tytułu pomocy finansowej udzielanej między jednostkami samorządu terytorialnego na dofinansowanie własnych zadań inwestycyjnych i zakupów inwestycyjnych w kwocie 10.000,00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Wykonanie instalacji centralnego ogrzewania i ciepłej wody użytkowej w budynku świetlicy wiejskiej w miejscowości Ogony</w:t>
      </w:r>
      <w:r>
        <w:rPr>
          <w:rFonts w:ascii="Times New Roman" w:eastAsia="Times New Roman" w:hAnsi="Times New Roman" w:cs="Times New Roman"/>
        </w:rPr>
        <w:t>- 28.400,00 zł współfinansowana dotacją celowa otrzymaną z tytułu pomocy finansowej udzielanej między jednostkami samorządu terytorialnego na dofinansowanie własnych zadań inwestycyjnych i zakupów inwestycyjnych w kwocie 10.000,00 zł,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lastRenderedPageBreak/>
        <w:t>Wymiana pokrycia dachowego budynku świetlicy wiejskiej w miejscowości Załęże Ponikiewka gm. Młynarze</w:t>
      </w:r>
      <w:r>
        <w:rPr>
          <w:rFonts w:ascii="Times New Roman" w:eastAsia="Times New Roman" w:hAnsi="Times New Roman" w:cs="Times New Roman"/>
        </w:rPr>
        <w:t>- 21.000,00 zł, współfinansowaną dotacją celową otrzymaną z tytułu pomocy finansowej udzielanej między jednostkami samorządu terytorialnego na dofinansowanie własnych zadań inwestycyjnych i zakupów inwestycyjnych 10.000,00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Doposażenie i modernizacja świetlicy wiejskiej w miejscowości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 xml:space="preserve"> Głażewo- Święszki</w:t>
      </w:r>
      <w:r>
        <w:rPr>
          <w:rFonts w:ascii="Times New Roman" w:eastAsia="Times New Roman" w:hAnsi="Times New Roman" w:cs="Times New Roman"/>
        </w:rPr>
        <w:t>- 65.386,00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Wyposażenie świetlicy wiejskiej w miejscowości Młynarze</w:t>
      </w:r>
      <w:r>
        <w:rPr>
          <w:rFonts w:ascii="Times New Roman" w:eastAsia="Times New Roman" w:hAnsi="Times New Roman" w:cs="Times New Roman"/>
        </w:rPr>
        <w:t xml:space="preserve"> – 848,70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tabs>
          <w:tab w:val="left" w:pos="57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</w:rPr>
        <w:t>Kultura fizyczna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wydatki bieżące: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Plan 2.924,85</w:t>
      </w:r>
      <w:r>
        <w:rPr>
          <w:rFonts w:ascii="Times New Roman" w:eastAsia="Times New Roman" w:hAnsi="Times New Roman" w:cs="Times New Roman"/>
        </w:rPr>
        <w:t>, brak wykonania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wydatki majątkowe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Plan 153.816,00 zł wykonanie 152.684,90 zł, tj. 99,27%, na</w:t>
      </w:r>
      <w:r>
        <w:rPr>
          <w:rFonts w:ascii="Times New Roman" w:eastAsia="Times New Roman" w:hAnsi="Times New Roman" w:cs="Times New Roman"/>
          <w:i/>
        </w:rPr>
        <w:t xml:space="preserve">: Budowę siłowni zewnętrznej w miejscowości Młynarze </w:t>
      </w:r>
      <w:r>
        <w:rPr>
          <w:rFonts w:ascii="Times New Roman" w:eastAsia="Times New Roman" w:hAnsi="Times New Roman" w:cs="Times New Roman"/>
        </w:rPr>
        <w:t xml:space="preserve">wydatkowano 48.867,90 zł, </w:t>
      </w:r>
      <w:r>
        <w:rPr>
          <w:rFonts w:ascii="Times New Roman" w:eastAsia="Times New Roman" w:hAnsi="Times New Roman" w:cs="Times New Roman"/>
          <w:i/>
        </w:rPr>
        <w:t>na Budowę Otwartej Strefy Aktywności (OSA) Edycja 2019 przy Szkole Podstawowej w miejscowości Młynarze</w:t>
      </w:r>
      <w:r>
        <w:rPr>
          <w:rFonts w:ascii="Times New Roman" w:eastAsia="Times New Roman" w:hAnsi="Times New Roman" w:cs="Times New Roman"/>
        </w:rPr>
        <w:t xml:space="preserve"> wydatkowano 103.817,00 zł, współfinasowana dotacją celową otrzymaną z budżetu państwa na realizację inwestycji i zakupów inwestycyjnych własnych gmin (związków gmin, związków powiatowo-gminnych) w kwocie 49.900,00 zł.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Stan zadłużenia gminy z tytułu kredytu wynosi  99.996,00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Należności wymagalne na dzień 31 grudnia 2019 roku wynosiły  263.009,86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Z powyższego wynika, że Budżet Gminy za 2019 rok zamknął się nadwyżką budżetu w kwocie 71.246,29zł, przy planowanym deficycie budżetu w wysokości 368.415,99 zł. Zrealizowane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zostały przychody budżetu w kwocie 523,091,22 zł, i rozchody budżetu w wysokości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100.004,00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Dochody ogółem zrealizowano w kwocie 9.568.794,86 zł, co stanowi 100,1 % planu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ustalonego przez Radę, w tym dochody majątkowe w wysokości 661.879,00 zł, czyli</w:t>
      </w:r>
      <w:r w:rsidR="0090665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126 % planu.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stosunku do roku 2019 dochody ogółem były wyższe o 12,4 %, a dochody majątkowe uległy zwiększeniu o 94,5 %.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Dochody podatkowe (wykazywane w sprawozdaniu Rb-PDP) wykonano w kwocie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2.539.417,14 zł. W stosunku do roku ubiegłego dochody podatkowe zmniejszyły się o 0,1 %.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Wykonane dochody bieżące przewyższają wydatki bieżące, co oznacza, że zachowana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została relacja określona w art. 242 ustawy o finansach publicznych.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Skutki obniżenia przez Radę Gminy górnych stawek podatków wyniosły 366.828,12 zł, co stanowi 14,5 % wykonanych dochodów podatkowych, zaś skutki udzielonych ulg i zwolnień oraz umorzeń </w:t>
      </w:r>
      <w:r>
        <w:rPr>
          <w:rFonts w:ascii="Times New Roman" w:eastAsia="Times New Roman" w:hAnsi="Times New Roman" w:cs="Times New Roman"/>
        </w:rPr>
        <w:lastRenderedPageBreak/>
        <w:t>zaległości podatkowych wyniosły 30.594,65 zł, co stanowi 1,2 % ww. dochodów podatkowych Gminy.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Zaległości w podatkach wyniosły 135.635,74 zł. Zaległości te w stosunku do roku 2018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zwiększyły się o 7,2 %.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Należności wymagalne (bez zaległości podatkowych wg Rb-27S) wynosiły 125.472,62 zł.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Wydatki ogółem wykonano w kwocie 9.497.548,57 zł (tj. 95,7 % planu), w tym majątkowe w kwocie 1.222.210,94 zł (tj. 98,8 % planu). W stosunku do roku 2018 wydatki ogółem były wyższe o 11,5 %, majątkowe zwiększone zostały o 53,5 %.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Wydatki majątkowe stanowiły 12,9 % ogólnych wydatków budżetowych.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Wydatki na zadania zlecone z zakresu administracji rządowej zrealizowane zostały w wysokości otrzymanych dotacji na ten cel z budżetu państwa.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Dotacje dla gminnej instytucji</w:t>
      </w:r>
      <w:r w:rsidR="00906655">
        <w:rPr>
          <w:rFonts w:ascii="Times New Roman" w:eastAsia="Times New Roman" w:hAnsi="Times New Roman" w:cs="Times New Roman"/>
        </w:rPr>
        <w:t xml:space="preserve"> kultury przekazano w planowanych</w:t>
      </w:r>
      <w:r>
        <w:rPr>
          <w:rFonts w:ascii="Times New Roman" w:eastAsia="Times New Roman" w:hAnsi="Times New Roman" w:cs="Times New Roman"/>
        </w:rPr>
        <w:t xml:space="preserve"> wielkościach.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Dług Gminy na koniec 2019 roku wyniósł 99.996 zł, i stanowił 1,1 % wykonanych dochodów.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Relacja łącznej kwoty spłat rat kredytów i pożyczek wraz z należnymi odsetkami do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planowanych dochodów ogółem, wynikająca z art. 243 ustawy o finansach publicznych została zachowana.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u w:val="single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Informacja</w:t>
      </w:r>
      <w:r>
        <w:rPr>
          <w:rFonts w:ascii="Times New Roman" w:eastAsia="Times New Roman" w:hAnsi="Times New Roman" w:cs="Times New Roman"/>
          <w:i/>
          <w:sz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o stanie mienia komunalnego</w:t>
      </w: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Gmina Młynarze jest właścicielem:</w:t>
      </w: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- gruntów zabudowanych o pow. 5,09 ha</w:t>
      </w: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-17 budynków w tym:</w:t>
      </w: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- 2 obiektów szkolnych w tym;</w:t>
      </w: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- budynek Szkoły Podstawowej w Młynarzach</w:t>
      </w: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- budynek byłego Publicznego Gimnazjum w Młynarzach </w:t>
      </w: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- 3 budynków użyteczności publicznej w tym:</w:t>
      </w:r>
    </w:p>
    <w:p w:rsidR="00EE52F3" w:rsidRPr="00EE52F3" w:rsidRDefault="00EE52F3" w:rsidP="00EE52F3">
      <w:pPr>
        <w:numPr>
          <w:ilvl w:val="0"/>
          <w:numId w:val="26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2 budynków administracyjnych</w:t>
      </w:r>
    </w:p>
    <w:p w:rsidR="00EE52F3" w:rsidRPr="00EE52F3" w:rsidRDefault="00EE52F3" w:rsidP="00EE52F3">
      <w:pPr>
        <w:numPr>
          <w:ilvl w:val="0"/>
          <w:numId w:val="26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budynku Ośrodka Zdrowia</w:t>
      </w: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12 innych budynków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Świetlica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>. Głażewo – Święszki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Świetlica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 xml:space="preserve">. Kołaki 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Świetlica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 xml:space="preserve">. Gierwaty 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Świetlica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>. Sadykierz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Remiza OSP Załęże - Ponikiewka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Budynek gospodarczy przy budynku socjalnym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 xml:space="preserve">. Kołaki 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Remiza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 xml:space="preserve">. Rupin 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lastRenderedPageBreak/>
        <w:t xml:space="preserve">Budynek po byłej zlewni mleka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 xml:space="preserve">. Strzemieczne Oleksy 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Budynek socjalny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 xml:space="preserve">. Kołaki 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2 Budynki gospodarcze przy Szkole Podstawowej w Młynarzach  </w:t>
      </w:r>
    </w:p>
    <w:p w:rsidR="00EE52F3" w:rsidRPr="00EE52F3" w:rsidRDefault="00EE52F3" w:rsidP="00EE52F3">
      <w:pPr>
        <w:numPr>
          <w:ilvl w:val="0"/>
          <w:numId w:val="27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Stacji Uzdatniania Wody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>. Młynarze</w:t>
      </w:r>
    </w:p>
    <w:p w:rsidR="00EE52F3" w:rsidRPr="00EE52F3" w:rsidRDefault="00EE52F3" w:rsidP="00EE52F3">
      <w:pPr>
        <w:numPr>
          <w:ilvl w:val="0"/>
          <w:numId w:val="28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dróg o powierzchni 120,2138 ha </w:t>
      </w:r>
    </w:p>
    <w:p w:rsidR="00EE52F3" w:rsidRPr="00EE52F3" w:rsidRDefault="00EE52F3" w:rsidP="00EE52F3">
      <w:pPr>
        <w:numPr>
          <w:ilvl w:val="0"/>
          <w:numId w:val="29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3 samochodów strażackich</w:t>
      </w:r>
    </w:p>
    <w:p w:rsidR="00EE52F3" w:rsidRPr="00EE52F3" w:rsidRDefault="00EE52F3" w:rsidP="00EE52F3">
      <w:pPr>
        <w:numPr>
          <w:ilvl w:val="0"/>
          <w:numId w:val="29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>Sieci wodociągowej o długości 62,04 km</w:t>
      </w:r>
    </w:p>
    <w:p w:rsidR="00EE52F3" w:rsidRPr="00EE52F3" w:rsidRDefault="00EE52F3" w:rsidP="00EE52F3">
      <w:pPr>
        <w:numPr>
          <w:ilvl w:val="0"/>
          <w:numId w:val="29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Studni Nr 2 awaryjnej do zasilania wodociągu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 xml:space="preserve">. Młynarze </w:t>
      </w:r>
    </w:p>
    <w:p w:rsidR="00EE52F3" w:rsidRPr="00EE52F3" w:rsidRDefault="00EE52F3" w:rsidP="00EE52F3">
      <w:pPr>
        <w:numPr>
          <w:ilvl w:val="0"/>
          <w:numId w:val="29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Studni do zasilania wodociągu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 xml:space="preserve">. Młynarze </w:t>
      </w:r>
    </w:p>
    <w:p w:rsidR="00EE52F3" w:rsidRPr="00EE52F3" w:rsidRDefault="00EE52F3" w:rsidP="00EE52F3">
      <w:pPr>
        <w:numPr>
          <w:ilvl w:val="0"/>
          <w:numId w:val="29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Punktu czerpalnego wody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 xml:space="preserve">. Głażewo Święszki </w:t>
      </w:r>
    </w:p>
    <w:p w:rsidR="00EE52F3" w:rsidRPr="00EE52F3" w:rsidRDefault="00EE52F3" w:rsidP="00EE52F3">
      <w:pPr>
        <w:numPr>
          <w:ilvl w:val="0"/>
          <w:numId w:val="29"/>
        </w:num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EE52F3">
        <w:rPr>
          <w:rFonts w:ascii="Times New Roman" w:eastAsia="Times New Roman" w:hAnsi="Times New Roman" w:cs="Times New Roman"/>
        </w:rPr>
        <w:t xml:space="preserve">Punktu czerpalnego wody w </w:t>
      </w:r>
      <w:proofErr w:type="spellStart"/>
      <w:r w:rsidRPr="00EE52F3">
        <w:rPr>
          <w:rFonts w:ascii="Times New Roman" w:eastAsia="Times New Roman" w:hAnsi="Times New Roman" w:cs="Times New Roman"/>
        </w:rPr>
        <w:t>msc</w:t>
      </w:r>
      <w:proofErr w:type="spellEnd"/>
      <w:r w:rsidRPr="00EE52F3">
        <w:rPr>
          <w:rFonts w:ascii="Times New Roman" w:eastAsia="Times New Roman" w:hAnsi="Times New Roman" w:cs="Times New Roman"/>
        </w:rPr>
        <w:t xml:space="preserve">. Sadykierz </w:t>
      </w: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EE52F3" w:rsidRPr="00FB6CFA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</w:rPr>
      </w:pPr>
      <w:r w:rsidRPr="00EE52F3">
        <w:rPr>
          <w:rFonts w:ascii="Times New Roman" w:eastAsia="Times New Roman" w:hAnsi="Times New Roman" w:cs="Times New Roman"/>
        </w:rPr>
        <w:t>Jest kontynuowana umowa użyczenia zawarta w 2007r między Parafią Rzymskokatolicką p.w. Bp. i M. w Sieluniu - użyczający a Gminą Młynarze biorącym nieruchomość o pow. 2,05 ha przeznaczonej na tereny sportu i rekreacji na okres od 05.04.2007 r. do 04.04.2027 r.</w:t>
      </w:r>
      <w:r w:rsidRPr="00EE52F3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r w:rsidRPr="00EE52F3">
        <w:rPr>
          <w:rFonts w:ascii="Times New Roman" w:eastAsia="Times New Roman" w:hAnsi="Times New Roman" w:cs="Times New Roman"/>
          <w:b/>
          <w:bCs/>
        </w:rPr>
        <w:t xml:space="preserve">Informacja o stanie mienia komunalnego na dzień 31 grudnia 2019  roku </w:t>
      </w:r>
    </w:p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tbl>
      <w:tblPr>
        <w:tblW w:w="12049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26"/>
        <w:gridCol w:w="1984"/>
        <w:gridCol w:w="1276"/>
        <w:gridCol w:w="851"/>
        <w:gridCol w:w="1134"/>
        <w:gridCol w:w="1559"/>
        <w:gridCol w:w="1134"/>
        <w:gridCol w:w="1830"/>
        <w:gridCol w:w="1855"/>
      </w:tblGrid>
      <w:tr w:rsidR="00EE52F3" w:rsidRPr="00EE52F3" w:rsidTr="00D73086">
        <w:trPr>
          <w:trHeight w:hRule="exact" w:val="387"/>
        </w:trPr>
        <w:tc>
          <w:tcPr>
            <w:tcW w:w="42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98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 xml:space="preserve">Wyszczególnienie </w:t>
            </w:r>
          </w:p>
        </w:tc>
        <w:tc>
          <w:tcPr>
            <w:tcW w:w="127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Stan na 31.12.2018</w:t>
            </w:r>
          </w:p>
        </w:tc>
        <w:tc>
          <w:tcPr>
            <w:tcW w:w="85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 xml:space="preserve">Zmiana </w:t>
            </w:r>
          </w:p>
        </w:tc>
        <w:tc>
          <w:tcPr>
            <w:tcW w:w="113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Stan na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 xml:space="preserve"> 31.12.2019</w:t>
            </w:r>
          </w:p>
        </w:tc>
        <w:tc>
          <w:tcPr>
            <w:tcW w:w="269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Sposób</w:t>
            </w:r>
            <w:r w:rsidR="00D73086">
              <w:rPr>
                <w:rFonts w:ascii="Times New Roman" w:eastAsia="Times New Roman" w:hAnsi="Times New Roman" w:cs="Times New Roman"/>
                <w:b/>
                <w:bCs/>
              </w:rPr>
              <w:t xml:space="preserve"> zagospodarowania</w:t>
            </w: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D73086">
              <w:rPr>
                <w:rFonts w:ascii="Times New Roman" w:eastAsia="Times New Roman" w:hAnsi="Times New Roman" w:cs="Times New Roman"/>
                <w:b/>
                <w:bCs/>
              </w:rPr>
              <w:t>zzaza</w:t>
            </w:r>
            <w:r w:rsidR="00906655">
              <w:rPr>
                <w:rFonts w:ascii="Times New Roman" w:eastAsia="Times New Roman" w:hAnsi="Times New Roman" w:cs="Times New Roman"/>
                <w:b/>
                <w:bCs/>
              </w:rPr>
              <w:t>zaagzazagggzagospodarowania</w:t>
            </w: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zagospodarowania</w:t>
            </w:r>
            <w:proofErr w:type="spellEnd"/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83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Dochody uzyskiwane </w:t>
            </w:r>
          </w:p>
          <w:p w:rsid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z tytułu gospodarowania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mieniem 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E52F3" w:rsidRDefault="00EE52F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E52F3" w:rsidRDefault="00EE52F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E52F3" w:rsidRPr="00EE52F3" w:rsidTr="00D73086">
        <w:trPr>
          <w:trHeight w:hRule="exact" w:val="1227"/>
        </w:trPr>
        <w:tc>
          <w:tcPr>
            <w:tcW w:w="42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W bezpośredn</w:t>
            </w:r>
            <w:r w:rsidR="00D73086">
              <w:rPr>
                <w:rFonts w:ascii="Times New Roman" w:eastAsia="Times New Roman" w:hAnsi="Times New Roman" w:cs="Times New Roman"/>
                <w:b/>
                <w:bCs/>
              </w:rPr>
              <w:t>im zarządzie</w:t>
            </w: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 xml:space="preserve">Dzierżawa </w:t>
            </w:r>
          </w:p>
        </w:tc>
        <w:tc>
          <w:tcPr>
            <w:tcW w:w="1830" w:type="dxa"/>
            <w:vMerge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5" w:type="dxa"/>
            <w:vMerge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52F3" w:rsidRPr="00EE52F3" w:rsidTr="00D73086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 xml:space="preserve">Grunty w ha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6,07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6,07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5,59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0,48</w:t>
            </w:r>
          </w:p>
        </w:tc>
        <w:tc>
          <w:tcPr>
            <w:tcW w:w="183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5" w:type="dxa"/>
            <w:vMerge w:val="restart"/>
            <w:tcBorders>
              <w:left w:val="single" w:sz="4" w:space="0" w:color="auto"/>
              <w:right w:val="single" w:sz="1" w:space="0" w:color="000000"/>
            </w:tcBorders>
            <w:shd w:val="clear" w:color="auto" w:fill="auto"/>
          </w:tcPr>
          <w:p w:rsidR="00EE52F3" w:rsidRDefault="00EE52F3">
            <w:pPr>
              <w:rPr>
                <w:rFonts w:ascii="Times New Roman" w:eastAsia="Times New Roman" w:hAnsi="Times New Roman" w:cs="Times New Roman"/>
              </w:rPr>
            </w:pPr>
          </w:p>
          <w:p w:rsidR="00EE52F3" w:rsidRDefault="00EE52F3">
            <w:pPr>
              <w:rPr>
                <w:rFonts w:ascii="Times New Roman" w:eastAsia="Times New Roman" w:hAnsi="Times New Roman" w:cs="Times New Roman"/>
              </w:rPr>
            </w:pP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52F3" w:rsidRPr="00EE52F3" w:rsidTr="00D73086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Budynki w tym: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 xml:space="preserve">- obiekty szkolne 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 xml:space="preserve">- pozostałe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17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2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0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0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17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2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17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2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17.229,70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7.472,89</w:t>
            </w:r>
          </w:p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9.756,81</w:t>
            </w:r>
          </w:p>
        </w:tc>
        <w:tc>
          <w:tcPr>
            <w:tcW w:w="1855" w:type="dxa"/>
            <w:vMerge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52F3" w:rsidRPr="00EE52F3" w:rsidTr="00D73086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 xml:space="preserve">Drogi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36,3 km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36,3 km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36,3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5" w:type="dxa"/>
            <w:vMerge w:val="restart"/>
            <w:tcBorders>
              <w:left w:val="single" w:sz="4" w:space="0" w:color="auto"/>
              <w:right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52F3" w:rsidRPr="00EE52F3" w:rsidTr="00D73086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Środki transportowe szt.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EE52F3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EE52F3" w:rsidRPr="00EE52F3" w:rsidRDefault="00EE52F3" w:rsidP="00EE52F3"/>
        </w:tc>
        <w:tc>
          <w:tcPr>
            <w:tcW w:w="1855" w:type="dxa"/>
            <w:vMerge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E52F3" w:rsidRPr="00EE52F3" w:rsidRDefault="00EE52F3" w:rsidP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E52F3" w:rsidRPr="00EE52F3" w:rsidRDefault="00EE52F3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 w:rsidP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u w:val="single"/>
        </w:rPr>
      </w:pPr>
      <w:r>
        <w:rPr>
          <w:rFonts w:ascii="Times New Roman" w:eastAsia="Times New Roman" w:hAnsi="Times New Roman" w:cs="Times New Roman"/>
          <w:b/>
          <w:i/>
          <w:u w:val="single"/>
        </w:rPr>
        <w:lastRenderedPageBreak/>
        <w:t>WIELOLETNI PROGRAM GOSPODAROWANIA MIESZKANIOWYM ZASOBEM GMINY MŁYNARZE  NA  LATA 2017-2022</w:t>
      </w:r>
    </w:p>
    <w:p w:rsidR="0000592B" w:rsidRDefault="00EE52F3">
      <w:pPr>
        <w:widowControl w:val="0"/>
        <w:numPr>
          <w:ilvl w:val="0"/>
          <w:numId w:val="4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Głównym celem Wieloletniego  Programu Gospodarowania Mieszkaniowym Zasobem Gminy Młynarze na lata 2018-2022 zwanego dalej „programem jest dążenie do racjonalnego i efektywnego gospodarowania posiadanym zasobem mieszkaniowym.</w:t>
      </w:r>
    </w:p>
    <w:p w:rsidR="0000592B" w:rsidRDefault="00EE52F3">
      <w:pPr>
        <w:widowControl w:val="0"/>
        <w:numPr>
          <w:ilvl w:val="0"/>
          <w:numId w:val="4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Działania dotyczące mieszkalnictwa mają za zadanie:</w:t>
      </w:r>
    </w:p>
    <w:p w:rsidR="0000592B" w:rsidRDefault="00EE52F3">
      <w:pPr>
        <w:widowControl w:val="0"/>
        <w:numPr>
          <w:ilvl w:val="0"/>
          <w:numId w:val="4"/>
        </w:numPr>
        <w:spacing w:after="0" w:line="360" w:lineRule="auto"/>
        <w:ind w:left="1776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Utrzymanie zasobu na dobrym poziomie technicznym;</w:t>
      </w:r>
    </w:p>
    <w:p w:rsidR="0000592B" w:rsidRDefault="00EE52F3">
      <w:pPr>
        <w:widowControl w:val="0"/>
        <w:numPr>
          <w:ilvl w:val="0"/>
          <w:numId w:val="4"/>
        </w:numPr>
        <w:spacing w:after="0" w:line="360" w:lineRule="auto"/>
        <w:ind w:left="1776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Zaspokojenie niezbędnych potrzeb mieszkaniowych przez Gminę Młynarze, zwaną dalej „Gminą</w:t>
      </w:r>
      <w:r>
        <w:rPr>
          <w:rFonts w:ascii="Calibri" w:eastAsia="Calibri" w:hAnsi="Calibri" w:cs="Calibri"/>
        </w:rPr>
        <w:t>”.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Prognoza dotycząca wielkości oraz stanu technicznego zasobu mieszkaniowego gminy w poszczególnych latach 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1.W skład mieszkaniowego zasobu Gminy Młynarze wchodzą lokale mieszkalne położone w budynku Szkoły Podstawowej w Młynarzach, w budynku po byłej Szkole Podstawowej w Głażewie- Cholewach, w budynku Niepublicznego Zakładu Opieki Zdrowotnej w Młynarzach  oraz lokale socjalne  położone w budynku w miejscowości  Kołaki.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Wykaz lokali zamieszczony został w tabeli nr 1.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2.Mieszkaniowy zasób gminy dzieli się na: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lokale mieszkalne – 407,73 m</w:t>
      </w:r>
      <w:r>
        <w:rPr>
          <w:rFonts w:ascii="Times New Roman" w:eastAsia="Times New Roman" w:hAnsi="Times New Roman" w:cs="Times New Roman"/>
          <w:vertAlign w:val="superscript"/>
        </w:rPr>
        <w:t>2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</w:rPr>
        <w:t>b) lokale socjalne – 112,80 m</w:t>
      </w:r>
      <w:r>
        <w:rPr>
          <w:rFonts w:ascii="Times New Roman" w:eastAsia="Times New Roman" w:hAnsi="Times New Roman" w:cs="Times New Roman"/>
          <w:vertAlign w:val="superscript"/>
        </w:rPr>
        <w:t>2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Tabela nr 1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480"/>
        <w:gridCol w:w="1274"/>
        <w:gridCol w:w="1101"/>
        <w:gridCol w:w="755"/>
        <w:gridCol w:w="755"/>
        <w:gridCol w:w="1274"/>
        <w:gridCol w:w="1295"/>
        <w:gridCol w:w="1177"/>
        <w:gridCol w:w="1069"/>
      </w:tblGrid>
      <w:tr w:rsidR="0000592B">
        <w:trPr>
          <w:trHeight w:val="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Lp.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Lokal adres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Typ lokalu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Lokale zajęte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Lokale wolne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Powierzchnia użytkowa w m2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Wyposażenie lokali/ stan lokali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Stan techniczny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Planowana sprzedaż</w:t>
            </w:r>
          </w:p>
        </w:tc>
      </w:tr>
      <w:tr w:rsidR="0000592B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Budynek Szkoły Podstawowej w Młynarzach ul. Ostrołęcka 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centralne ogrzewanie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siec wodociągowa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łazienka</w:t>
            </w:r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Dobry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</w:tr>
      <w:tr w:rsidR="0000592B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centralne ogrzewanie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siec wodociągo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łazienka</w:t>
            </w:r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Dobry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</w:tr>
      <w:tr w:rsidR="0000592B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-centralne ogrzewanie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siec wodociągowa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łazienka</w:t>
            </w:r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Dobry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</w:tr>
      <w:tr w:rsidR="0000592B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42</w:t>
            </w:r>
          </w:p>
          <w:p w:rsidR="0000592B" w:rsidRDefault="0000592B">
            <w:pPr>
              <w:suppressAutoHyphens/>
              <w:spacing w:after="0" w:line="360" w:lineRule="auto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centralne ogrzewanie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siec wodociągowa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łazienka</w:t>
            </w:r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Dobry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</w:tr>
      <w:tr w:rsidR="0000592B"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RAZEM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4 - lokale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158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uppressAutoHyphens/>
              <w:spacing w:after="0" w:line="360" w:lineRule="auto"/>
              <w:rPr>
                <w:rFonts w:ascii="Calibri" w:eastAsia="Calibri" w:hAnsi="Calibri" w:cs="Calibri"/>
              </w:rPr>
            </w:pPr>
          </w:p>
        </w:tc>
      </w:tr>
      <w:tr w:rsidR="0000592B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Budynek po byłej Szkole Podstawowej w Głażewie-Cholewach 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26,39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siec wodociągowa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 brak centralnego ogrzewania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brak łazienki</w:t>
            </w:r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 xml:space="preserve">- brak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Dostateczny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Sprzedany</w:t>
            </w:r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w  2018</w:t>
            </w:r>
          </w:p>
        </w:tc>
      </w:tr>
      <w:tr w:rsidR="0000592B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55,7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siec wodociągowa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łazienka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- brak centralnego ogrzewania,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Dostateczny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Sprzedany</w:t>
            </w:r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w 2018</w:t>
            </w:r>
          </w:p>
        </w:tc>
      </w:tr>
      <w:tr w:rsidR="0000592B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mieszkal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51,54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- siec wodociągowa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łazienka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- brak centralnego ogrzewania,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Dostatecz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Sprzedan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y</w:t>
            </w:r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 xml:space="preserve"> w 2018</w:t>
            </w:r>
          </w:p>
        </w:tc>
      </w:tr>
      <w:tr w:rsidR="0000592B"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RAZEM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3 - lokale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133,63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uppressAutoHyphens/>
              <w:spacing w:after="0" w:line="360" w:lineRule="auto"/>
              <w:rPr>
                <w:rFonts w:ascii="Calibri" w:eastAsia="Calibri" w:hAnsi="Calibri" w:cs="Calibri"/>
              </w:rPr>
            </w:pPr>
          </w:p>
        </w:tc>
      </w:tr>
      <w:tr w:rsidR="0000592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Niepubliczny Zakład Opieki Zdrowotnej w Młynarzach ul. Ostrołęcka 7A</w:t>
            </w:r>
          </w:p>
          <w:p w:rsidR="0000592B" w:rsidRDefault="0000592B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>
            <w:pPr>
              <w:suppressAutoHyphens/>
              <w:spacing w:after="0" w:line="360" w:lineRule="auto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116,10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centralne ogrzewanie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siec wodociągowa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łazienka</w:t>
            </w:r>
          </w:p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Dobry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</w:tr>
      <w:tr w:rsidR="0000592B"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RAZEM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 lokal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116,10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uppressAutoHyphens/>
              <w:spacing w:after="0" w:line="360" w:lineRule="auto"/>
              <w:rPr>
                <w:rFonts w:ascii="Calibri" w:eastAsia="Calibri" w:hAnsi="Calibri" w:cs="Calibri"/>
              </w:rPr>
            </w:pPr>
          </w:p>
        </w:tc>
      </w:tr>
      <w:tr w:rsidR="0000592B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Budynek w miejscowości Kołaki 6A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socjalny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37,6</w:t>
            </w:r>
          </w:p>
          <w:p w:rsidR="0000592B" w:rsidRDefault="0000592B">
            <w:pPr>
              <w:suppressAutoHyphens/>
              <w:spacing w:after="0" w:line="360" w:lineRule="auto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siec wodociągowa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łazienka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 brak centralnego ogrzewania</w:t>
            </w:r>
          </w:p>
          <w:p w:rsidR="0000592B" w:rsidRDefault="0000592B">
            <w:pPr>
              <w:suppressAutoHyphens/>
              <w:spacing w:after="0" w:line="360" w:lineRule="auto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Dostateczny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</w:tr>
      <w:tr w:rsidR="0000592B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socjalny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37,6</w:t>
            </w:r>
          </w:p>
          <w:p w:rsidR="0000592B" w:rsidRDefault="0000592B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>
            <w:pPr>
              <w:suppressAutoHyphens/>
              <w:spacing w:after="0" w:line="360" w:lineRule="auto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siec wodociągowa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łazienka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 brak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centralnego ogrzewania</w:t>
            </w:r>
          </w:p>
          <w:p w:rsidR="0000592B" w:rsidRDefault="0000592B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>
            <w:pPr>
              <w:suppressAutoHyphens/>
              <w:spacing w:after="0" w:line="360" w:lineRule="auto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dostateczny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</w:tr>
      <w:tr w:rsidR="0000592B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socjalny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37,6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siec wodociągowa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łazienka</w:t>
            </w:r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wc</w:t>
            </w:r>
            <w:proofErr w:type="spellEnd"/>
          </w:p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-  brak centralnego ogrzewania</w:t>
            </w:r>
          </w:p>
          <w:p w:rsidR="0000592B" w:rsidRDefault="0000592B">
            <w:pPr>
              <w:suppressAutoHyphens/>
              <w:spacing w:after="0" w:line="360" w:lineRule="auto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dostateczny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  <w:p w:rsidR="0000592B" w:rsidRDefault="0000592B">
            <w:pPr>
              <w:suppressAutoHyphens/>
              <w:spacing w:after="0" w:line="360" w:lineRule="auto"/>
            </w:pPr>
          </w:p>
        </w:tc>
      </w:tr>
      <w:tr w:rsidR="0000592B"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RAZEM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3 - lokale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112,80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uppressAutoHyphens/>
              <w:spacing w:after="0" w:line="360" w:lineRule="auto"/>
              <w:rPr>
                <w:rFonts w:ascii="Calibri" w:eastAsia="Calibri" w:hAnsi="Calibri" w:cs="Calibri"/>
              </w:rPr>
            </w:pPr>
          </w:p>
        </w:tc>
      </w:tr>
    </w:tbl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W budynkach jest łącznie 11 lokali mieszkalnych stanowiących mieszkaniowy zasób gminy, w tym 8 lokali mieszkalnych oraz 3 lokale socjalne.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Nie przewiduje się powiększenia  mieszkaniowego zasobu gminy poprzez budowę nowych mieszkań.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 Stan techniczny mieszkaniowego zasobu gminy określa się na bazie wyposażenia  lub jego braku w centralne ogrzewanie, w przyłącze wodociągowe, łazienkę i </w:t>
      </w:r>
      <w:proofErr w:type="spellStart"/>
      <w:r>
        <w:rPr>
          <w:rFonts w:ascii="Times New Roman" w:eastAsia="Times New Roman" w:hAnsi="Times New Roman" w:cs="Times New Roman"/>
        </w:rPr>
        <w:t>wc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6. Przewiduje się utrzymanie lokali w niepogorszonym stanie technicznym.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 Analiza potrzeb oraz plan remontów i modernizacji   wynikaj</w:t>
      </w:r>
      <w:r>
        <w:rPr>
          <w:rFonts w:ascii="Times New Roman" w:eastAsia="Times New Roman" w:hAnsi="Times New Roman" w:cs="Times New Roman"/>
          <w:i/>
        </w:rPr>
        <w:t>ą</w:t>
      </w:r>
      <w:r>
        <w:rPr>
          <w:rFonts w:ascii="Times New Roman" w:eastAsia="Times New Roman" w:hAnsi="Times New Roman" w:cs="Times New Roman"/>
          <w:b/>
          <w:i/>
        </w:rPr>
        <w:t>cy ze stanu technicznego budynków i lokali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widowControl w:val="0"/>
        <w:numPr>
          <w:ilvl w:val="0"/>
          <w:numId w:val="5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Utrzymanie lokali w niepogorszonym stanie technicznym to priorytetowe zadanie w dziedzinie gospodarki lokalowej. Dostateczny stan techniczny 6 lokali z zasobu mieszkaniowego gminy wynika z wieloletniego eksploatowania przy braku wystarczających środków na remonty kapitalne. Lokale te wymagają kapitalnego remontu zaś pozostałe budynki i lokale wymagają bieżących konserwacji.</w:t>
      </w:r>
    </w:p>
    <w:p w:rsidR="0000592B" w:rsidRDefault="00EE52F3">
      <w:pPr>
        <w:widowControl w:val="0"/>
        <w:numPr>
          <w:ilvl w:val="0"/>
          <w:numId w:val="5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okresie obowiązywania programu przy kwalifikowaniu poszczególnych budynków do </w:t>
      </w:r>
      <w:r>
        <w:rPr>
          <w:rFonts w:ascii="Times New Roman" w:eastAsia="Times New Roman" w:hAnsi="Times New Roman" w:cs="Times New Roman"/>
        </w:rPr>
        <w:lastRenderedPageBreak/>
        <w:t>remontów, brane będą pod uwagę wyniki okresowe przeglądów budynków.</w:t>
      </w:r>
    </w:p>
    <w:p w:rsidR="0000592B" w:rsidRDefault="00EE52F3">
      <w:pPr>
        <w:widowControl w:val="0"/>
        <w:numPr>
          <w:ilvl w:val="0"/>
          <w:numId w:val="5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Źródłem finansowania bieżących konserwacji  w latach obowiązywania programu, będą środki finansowe budżetu gminy pochodzące z opłat z tytułu czynszu najmu lokali.  Wydatki wynikające  z zarządzania mieszkaniowym zasobem gminy tj.  remonty lokali, modernizacja budynków powinny być pokrywane z wpływów z czynszu, środków własnych gminy oraz pozyskanych funduszy inwestycyjnych.</w:t>
      </w:r>
    </w:p>
    <w:p w:rsidR="0000592B" w:rsidRDefault="00EE52F3">
      <w:pPr>
        <w:widowControl w:val="0"/>
        <w:numPr>
          <w:ilvl w:val="0"/>
          <w:numId w:val="5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ramach bieżących remontów budynków planuje się:</w:t>
      </w:r>
    </w:p>
    <w:p w:rsidR="0000592B" w:rsidRDefault="00EE52F3">
      <w:pPr>
        <w:widowControl w:val="0"/>
        <w:numPr>
          <w:ilvl w:val="0"/>
          <w:numId w:val="5"/>
        </w:numPr>
        <w:spacing w:after="0" w:line="360" w:lineRule="auto"/>
        <w:ind w:left="1776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Wymianę</w:t>
      </w:r>
      <w:r w:rsidR="0020392D">
        <w:rPr>
          <w:rFonts w:ascii="Times New Roman" w:eastAsia="Times New Roman" w:hAnsi="Times New Roman" w:cs="Times New Roman"/>
        </w:rPr>
        <w:t xml:space="preserve"> stolarki okiennej i drzwiowej</w:t>
      </w:r>
      <w:r>
        <w:rPr>
          <w:rFonts w:ascii="Times New Roman" w:eastAsia="Times New Roman" w:hAnsi="Times New Roman" w:cs="Times New Roman"/>
        </w:rPr>
        <w:t xml:space="preserve"> w budynku w miejscowości Kołaki,</w:t>
      </w:r>
    </w:p>
    <w:p w:rsidR="0000592B" w:rsidRDefault="00EE52F3">
      <w:pPr>
        <w:widowControl w:val="0"/>
        <w:numPr>
          <w:ilvl w:val="0"/>
          <w:numId w:val="5"/>
        </w:numPr>
        <w:spacing w:after="0" w:line="360" w:lineRule="auto"/>
        <w:ind w:left="1776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Konserw</w:t>
      </w:r>
      <w:r w:rsidR="00244227">
        <w:rPr>
          <w:rFonts w:ascii="Times New Roman" w:eastAsia="Times New Roman" w:hAnsi="Times New Roman" w:cs="Times New Roman"/>
        </w:rPr>
        <w:t xml:space="preserve">acja pokrycia dachowego </w:t>
      </w:r>
      <w:r>
        <w:rPr>
          <w:rFonts w:ascii="Times New Roman" w:eastAsia="Times New Roman" w:hAnsi="Times New Roman" w:cs="Times New Roman"/>
        </w:rPr>
        <w:t>w budynku w miejscowości Kołaki.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Prace te zostaną wykonane w ramach posiadanych środków.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Planowana sprzedaż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>lokali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Sprzedaż mieszkań wchodzących w skład mieszkaniowego zasobu gminy odbywa się na podstawie przepisów ustawy z dnia 21 sierpnia 1997 roku o gospodarce nieruchomościami (Dz. U. Z 2016 </w:t>
      </w:r>
      <w:r>
        <w:rPr>
          <w:rFonts w:ascii="Times New Roman" w:eastAsia="Times New Roman" w:hAnsi="Times New Roman" w:cs="Times New Roman"/>
          <w:color w:val="000000"/>
        </w:rPr>
        <w:t>poz. 2147), przepisów aktów wykonawczych do powołanej ustawy, ustawy z dnia 24 czerwca 1994 roku o własności lokali (Dz. U. Z 2017 poz. 1529.) oraz postanowień uchwał Rady Gminy Młynarze w sprawie wyrażenia zgody na zbycie nieruchomości, podejmowanych każdorazowo do nieruchomości sprzedawanych.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W latach 2017-2022 planuje się sprzedaż budynku po byłej Szkole Podstawowej w Głażewie - Cholewach wraz z lokalami mieszkalnymi. </w:t>
      </w:r>
    </w:p>
    <w:p w:rsidR="0000592B" w:rsidRDefault="00EE52F3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2018 roku budyne</w:t>
      </w:r>
      <w:r w:rsidR="0020392D">
        <w:rPr>
          <w:rFonts w:ascii="Times New Roman" w:eastAsia="Times New Roman" w:hAnsi="Times New Roman" w:cs="Times New Roman"/>
        </w:rPr>
        <w:t>k po byłej Szkole Podstawowej w</w:t>
      </w:r>
      <w:r>
        <w:rPr>
          <w:rFonts w:ascii="Times New Roman" w:eastAsia="Times New Roman" w:hAnsi="Times New Roman" w:cs="Times New Roman"/>
        </w:rPr>
        <w:t xml:space="preserve"> Głażewie Cholewa</w:t>
      </w:r>
      <w:r w:rsidR="0022005C">
        <w:rPr>
          <w:rFonts w:ascii="Times New Roman" w:eastAsia="Times New Roman" w:hAnsi="Times New Roman" w:cs="Times New Roman"/>
        </w:rPr>
        <w:t>ch został sprzedany.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Zasady polityki czynszowej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</w:p>
    <w:p w:rsidR="0000592B" w:rsidRDefault="00EE52F3">
      <w:pPr>
        <w:widowControl w:val="0"/>
        <w:numPr>
          <w:ilvl w:val="0"/>
          <w:numId w:val="6"/>
        </w:numPr>
        <w:tabs>
          <w:tab w:val="left" w:pos="540"/>
        </w:tabs>
        <w:spacing w:after="0" w:line="360" w:lineRule="auto"/>
        <w:ind w:left="54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Najemcy lokali wchodzących w skład mieszkaniowego zasobu gminy są zobowiązani do uiszczania czynszu i innych opłat niezależnych od Wynajmującego, takich jak opłaty za energię elektryczną, wodę, odbiór nieczystości płynnych i stałych.</w:t>
      </w:r>
    </w:p>
    <w:p w:rsidR="0000592B" w:rsidRDefault="00EE52F3">
      <w:pPr>
        <w:widowControl w:val="0"/>
        <w:numPr>
          <w:ilvl w:val="0"/>
          <w:numId w:val="6"/>
        </w:numPr>
        <w:tabs>
          <w:tab w:val="left" w:pos="540"/>
        </w:tabs>
        <w:spacing w:after="0" w:line="360" w:lineRule="auto"/>
        <w:ind w:left="54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lokalach wchodzących w skład mieszkaniowego zasobu gminy, stawki czynszu za 1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powierzchni użytkowej lokali mieszkalnych ustala Wójt w drodze zarządzenia.</w:t>
      </w:r>
    </w:p>
    <w:p w:rsidR="0000592B" w:rsidRDefault="0020392D">
      <w:pPr>
        <w:widowControl w:val="0"/>
        <w:numPr>
          <w:ilvl w:val="0"/>
          <w:numId w:val="6"/>
        </w:numPr>
        <w:tabs>
          <w:tab w:val="left" w:pos="540"/>
        </w:tabs>
        <w:spacing w:after="0" w:line="360" w:lineRule="auto"/>
        <w:ind w:left="54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Określając stawkę</w:t>
      </w:r>
      <w:r w:rsidR="00EE52F3">
        <w:rPr>
          <w:rFonts w:ascii="Times New Roman" w:eastAsia="Times New Roman" w:hAnsi="Times New Roman" w:cs="Times New Roman"/>
        </w:rPr>
        <w:t xml:space="preserve"> za 1m </w:t>
      </w:r>
      <w:r w:rsidR="00EE52F3">
        <w:rPr>
          <w:rFonts w:ascii="Times New Roman" w:eastAsia="Times New Roman" w:hAnsi="Times New Roman" w:cs="Times New Roman"/>
          <w:vertAlign w:val="superscript"/>
        </w:rPr>
        <w:t>2</w:t>
      </w:r>
      <w:r w:rsidR="00EE52F3">
        <w:rPr>
          <w:rFonts w:ascii="Times New Roman" w:eastAsia="Times New Roman" w:hAnsi="Times New Roman" w:cs="Times New Roman"/>
        </w:rPr>
        <w:t xml:space="preserve"> powierzchni użytkowej lokali mieszkalnych Wójt Gminy uwzględnia czynniki podwyższające lub obniżające wartość użytkową lokali, a w szczególności:</w:t>
      </w:r>
    </w:p>
    <w:p w:rsidR="0000592B" w:rsidRDefault="00EE52F3">
      <w:pPr>
        <w:widowControl w:val="0"/>
        <w:numPr>
          <w:ilvl w:val="0"/>
          <w:numId w:val="6"/>
        </w:numPr>
        <w:spacing w:after="0" w:line="360" w:lineRule="auto"/>
        <w:ind w:left="108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Położenie budynku,</w:t>
      </w:r>
    </w:p>
    <w:p w:rsidR="0000592B" w:rsidRDefault="00EE52F3">
      <w:pPr>
        <w:widowControl w:val="0"/>
        <w:numPr>
          <w:ilvl w:val="0"/>
          <w:numId w:val="6"/>
        </w:numPr>
        <w:spacing w:after="0" w:line="360" w:lineRule="auto"/>
        <w:ind w:left="108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Położenie lokalu w budynku,</w:t>
      </w:r>
    </w:p>
    <w:p w:rsidR="0000592B" w:rsidRDefault="00EE52F3">
      <w:pPr>
        <w:widowControl w:val="0"/>
        <w:numPr>
          <w:ilvl w:val="0"/>
          <w:numId w:val="6"/>
        </w:numPr>
        <w:spacing w:after="0" w:line="360" w:lineRule="auto"/>
        <w:ind w:left="108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Wyposażenie budynku i lokalu w urządzenia techniczne i instalacje oraz ich stan,</w:t>
      </w:r>
    </w:p>
    <w:p w:rsidR="0000592B" w:rsidRDefault="00EE52F3">
      <w:pPr>
        <w:widowControl w:val="0"/>
        <w:numPr>
          <w:ilvl w:val="0"/>
          <w:numId w:val="6"/>
        </w:numPr>
        <w:spacing w:after="0" w:line="360" w:lineRule="auto"/>
        <w:ind w:left="108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Ogólny stan techniczny budynku.</w:t>
      </w:r>
    </w:p>
    <w:p w:rsidR="0000592B" w:rsidRDefault="0020392D">
      <w:pPr>
        <w:widowControl w:val="0"/>
        <w:numPr>
          <w:ilvl w:val="0"/>
          <w:numId w:val="6"/>
        </w:numPr>
        <w:tabs>
          <w:tab w:val="left" w:pos="540"/>
        </w:tabs>
        <w:spacing w:after="240" w:line="360" w:lineRule="auto"/>
        <w:ind w:left="54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Wprowadza się obniżenia stawki czynszu o </w:t>
      </w:r>
      <w:r w:rsidR="00EE52F3">
        <w:rPr>
          <w:rFonts w:ascii="Times New Roman" w:eastAsia="Times New Roman" w:hAnsi="Times New Roman" w:cs="Times New Roman"/>
        </w:rPr>
        <w:t xml:space="preserve">jakiej mowa w ust. 2 według standardu </w:t>
      </w:r>
    </w:p>
    <w:p w:rsidR="0000592B" w:rsidRDefault="00EE52F3">
      <w:pPr>
        <w:widowControl w:val="0"/>
        <w:spacing w:after="240" w:line="360" w:lineRule="auto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mieszkań o:</w:t>
      </w:r>
    </w:p>
    <w:p w:rsidR="0000592B" w:rsidRDefault="00EE52F3">
      <w:pPr>
        <w:widowControl w:val="0"/>
        <w:spacing w:after="240" w:line="360" w:lineRule="auto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1) 10% w mieszkaniach za samodzielny wywóz nieczystości,</w:t>
      </w:r>
    </w:p>
    <w:p w:rsidR="0000592B" w:rsidRDefault="00EE52F3">
      <w:pPr>
        <w:widowControl w:val="0"/>
        <w:spacing w:after="240" w:line="360" w:lineRule="auto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2) 10% w mieszkaniach bez samodzielnej łazienki,</w:t>
      </w:r>
    </w:p>
    <w:p w:rsidR="0000592B" w:rsidRDefault="00EE52F3">
      <w:pPr>
        <w:widowControl w:val="0"/>
        <w:spacing w:after="240" w:line="360" w:lineRule="auto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3) 50% w mieszkaniach bez centralnego ogrzewania.  </w:t>
      </w:r>
    </w:p>
    <w:p w:rsidR="0000592B" w:rsidRDefault="0020392D">
      <w:pPr>
        <w:numPr>
          <w:ilvl w:val="0"/>
          <w:numId w:val="7"/>
        </w:numPr>
        <w:tabs>
          <w:tab w:val="left" w:pos="540"/>
        </w:tabs>
        <w:suppressAutoHyphens/>
        <w:spacing w:after="0" w:line="360" w:lineRule="auto"/>
        <w:ind w:left="54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stosunku</w:t>
      </w:r>
      <w:r w:rsidR="00EE52F3">
        <w:rPr>
          <w:rFonts w:ascii="Times New Roman" w:eastAsia="Times New Roman" w:hAnsi="Times New Roman" w:cs="Times New Roman"/>
        </w:rPr>
        <w:t xml:space="preserve"> do najemców o niskich dochodach Wójt Gminy Młynarze stosuje obniżki czynszu naliczone według  obowiązujących stawek.</w:t>
      </w:r>
    </w:p>
    <w:p w:rsidR="0000592B" w:rsidRDefault="00EE52F3">
      <w:pPr>
        <w:numPr>
          <w:ilvl w:val="0"/>
          <w:numId w:val="7"/>
        </w:numPr>
        <w:tabs>
          <w:tab w:val="left" w:pos="540"/>
        </w:tabs>
        <w:suppressAutoHyphens/>
        <w:spacing w:after="0" w:line="360" w:lineRule="auto"/>
        <w:ind w:left="54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Wysokość czynszu naliczonego według obowiązujących stawek obniża się o 15% w przypadku, gdy średni miesięczny dochód na jednego członka gospodarstwa domowego w okresie 3 miesięcy poprzedzających datę złożenia wniosku nie przekracza 75% kwoty najniższej emerytury w gospodarstwie jednoosobowym i 50% tej kwoty w gospodarstwie wieloosobowym.</w:t>
      </w:r>
    </w:p>
    <w:p w:rsidR="0000592B" w:rsidRDefault="00EE52F3">
      <w:pPr>
        <w:numPr>
          <w:ilvl w:val="0"/>
          <w:numId w:val="7"/>
        </w:numPr>
        <w:tabs>
          <w:tab w:val="left" w:pos="540"/>
        </w:tabs>
        <w:suppressAutoHyphens/>
        <w:spacing w:after="0" w:line="360" w:lineRule="auto"/>
        <w:ind w:left="54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Obniżkę czynszu udziela Wójt Gminy Młynarze na okres nie dłuższy niż 12 miesięcy. 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Sposób i zasady zarządzania lokalami i budynkami wchodzącymi w skład mieszkaniowego zasobu gminy oraz przewidywane zmiany w zakresie zarządzania mieszkaniowym zasobem gminy w kolejnych latach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tabs>
          <w:tab w:val="left" w:pos="15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1.Obecnie wszystkie budynki i lokale wchodzące w skład mieszkaniowego zasobu gminy stanowią jej własność.</w:t>
      </w:r>
    </w:p>
    <w:p w:rsidR="0000592B" w:rsidRDefault="00EE52F3">
      <w:pPr>
        <w:tabs>
          <w:tab w:val="left" w:pos="15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Decyzje w sprawie zarządzania mieszkaniowym zasobem Gminy podejmuje Wójt Gminy.</w:t>
      </w:r>
    </w:p>
    <w:p w:rsidR="0000592B" w:rsidRDefault="00EE52F3">
      <w:pPr>
        <w:tabs>
          <w:tab w:val="left" w:pos="15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Umowy najmu z najemcami zawiera Wójt Gminy.</w:t>
      </w:r>
    </w:p>
    <w:p w:rsidR="0000592B" w:rsidRDefault="00EE52F3">
      <w:pPr>
        <w:tabs>
          <w:tab w:val="left" w:pos="15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Zarządzanie zasobami mieszkaniowymi gminy odbywać się będzie w najbliższych 5-ciu latach na dotychczasowych zasadach.</w:t>
      </w:r>
    </w:p>
    <w:p w:rsidR="0000592B" w:rsidRDefault="00EE52F3">
      <w:pPr>
        <w:tabs>
          <w:tab w:val="left" w:pos="15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W Urzędzie G</w:t>
      </w:r>
      <w:r w:rsidR="0020392D">
        <w:rPr>
          <w:rFonts w:ascii="Times New Roman" w:eastAsia="Times New Roman" w:hAnsi="Times New Roman" w:cs="Times New Roman"/>
        </w:rPr>
        <w:t>miny Młynarze prowadzona będzie</w:t>
      </w:r>
      <w:r>
        <w:rPr>
          <w:rFonts w:ascii="Times New Roman" w:eastAsia="Times New Roman" w:hAnsi="Times New Roman" w:cs="Times New Roman"/>
        </w:rPr>
        <w:t xml:space="preserve"> ewidencja lokali, dokumentacja związana z najmem lokali, obsługa finansowa w zakresie poboru i windykacji należności z tytułu najmu oraz dokonywane będą niezbędne prace remontowo-budowlane.</w:t>
      </w:r>
    </w:p>
    <w:p w:rsidR="0000592B" w:rsidRDefault="00EE52F3">
      <w:pPr>
        <w:tabs>
          <w:tab w:val="left" w:pos="15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 Wójt Gminy jako zarządca mieszkaniowym zasobem gminy będzie współdziałać z najemcami w szczególności w zakresie:</w:t>
      </w:r>
    </w:p>
    <w:p w:rsidR="0000592B" w:rsidRDefault="00EE52F3">
      <w:pPr>
        <w:tabs>
          <w:tab w:val="left" w:pos="15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1) zagospodarowania terenów wokół budynków,</w:t>
      </w:r>
    </w:p>
    <w:p w:rsidR="0000592B" w:rsidRDefault="00EE52F3">
      <w:pPr>
        <w:tabs>
          <w:tab w:val="left" w:pos="15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2) wykonywania różnych prac z udziałem najemców,</w:t>
      </w:r>
    </w:p>
    <w:p w:rsidR="0000592B" w:rsidRDefault="00EE52F3">
      <w:pPr>
        <w:tabs>
          <w:tab w:val="left" w:pos="15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3) przebudowy pomieszczeń mieszkalnych.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Lokalami i budynkami wchodzącymi w skład mieszkaniowego zasobu gminy zarządza i administruje Urząd 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Źródła finansowania gospodarki mieszkaniowej w latach 2017-2022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Zasadniczym źródłem finansowania gospodarki mieszkaniowej są wpływy z czynszów za lokale mieszkalne. Ponadto dla zaspokojenia potrzeb mieszkaniowych gminy i poprawy stanu budynków stanowiących mieszkaniowy zasób gminy, źródłem finansowania mogą być równie:</w:t>
      </w:r>
    </w:p>
    <w:p w:rsidR="0000592B" w:rsidRDefault="00EE52F3">
      <w:pPr>
        <w:widowControl w:val="0"/>
        <w:numPr>
          <w:ilvl w:val="0"/>
          <w:numId w:val="8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kredyty i pożyczki na prace termo modernizacyjne,</w:t>
      </w:r>
    </w:p>
    <w:p w:rsidR="0000592B" w:rsidRDefault="00EE52F3">
      <w:pPr>
        <w:widowControl w:val="0"/>
        <w:numPr>
          <w:ilvl w:val="0"/>
          <w:numId w:val="8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kredyty na remonty budynków,</w:t>
      </w:r>
    </w:p>
    <w:p w:rsidR="0000592B" w:rsidRDefault="00EE52F3">
      <w:pPr>
        <w:widowControl w:val="0"/>
        <w:numPr>
          <w:ilvl w:val="0"/>
          <w:numId w:val="8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dotacje celowe z budżetu państwa.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Wysokość wydatków  przeznaczonych na remonty i modernizację budynków i lokali w kolejnych latach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widowControl w:val="0"/>
        <w:numPr>
          <w:ilvl w:val="0"/>
          <w:numId w:val="9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Środki finansowe pochodzące z czynszu za lokale mieszkalne co roku powinny być przeznaczone na bieżące utrzymanie zasobu mieszkaniowego, a mianowicie na:</w:t>
      </w:r>
    </w:p>
    <w:p w:rsidR="0000592B" w:rsidRDefault="00EE52F3">
      <w:pPr>
        <w:widowControl w:val="0"/>
        <w:numPr>
          <w:ilvl w:val="0"/>
          <w:numId w:val="9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wydatki na utrzymanie czystości i porządku,</w:t>
      </w:r>
    </w:p>
    <w:p w:rsidR="0000592B" w:rsidRDefault="00EE52F3">
      <w:pPr>
        <w:widowControl w:val="0"/>
        <w:numPr>
          <w:ilvl w:val="0"/>
          <w:numId w:val="9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podatki i ubezpieczenia,</w:t>
      </w:r>
    </w:p>
    <w:p w:rsidR="0000592B" w:rsidRDefault="00EE52F3">
      <w:pPr>
        <w:widowControl w:val="0"/>
        <w:numPr>
          <w:ilvl w:val="0"/>
          <w:numId w:val="9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przeglądy i konserwacje,</w:t>
      </w:r>
    </w:p>
    <w:p w:rsidR="0000592B" w:rsidRDefault="00EE52F3">
      <w:pPr>
        <w:widowControl w:val="0"/>
        <w:numPr>
          <w:ilvl w:val="0"/>
          <w:numId w:val="9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pozostałe koszty.</w:t>
      </w:r>
    </w:p>
    <w:p w:rsidR="0000592B" w:rsidRDefault="00EE52F3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Szacunkowe wydatki związane z mieszkaniowym zasobem gminy w latach 2017-2022 przedstawiono w tabeli nr 2.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Tabela nr 2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tbl>
      <w:tblPr>
        <w:tblW w:w="10225" w:type="dxa"/>
        <w:tblInd w:w="-3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"/>
        <w:gridCol w:w="1418"/>
        <w:gridCol w:w="1276"/>
        <w:gridCol w:w="708"/>
        <w:gridCol w:w="1053"/>
        <w:gridCol w:w="1156"/>
        <w:gridCol w:w="1396"/>
        <w:gridCol w:w="1396"/>
        <w:gridCol w:w="1396"/>
      </w:tblGrid>
      <w:tr w:rsidR="0022005C" w:rsidTr="0022005C"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Lokal/adres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Planowane prace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6527FE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6527FE">
              <w:rPr>
                <w:rFonts w:ascii="Times New Roman" w:eastAsia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2022</w:t>
            </w:r>
          </w:p>
        </w:tc>
      </w:tr>
      <w:tr w:rsidR="0022005C" w:rsidTr="0022005C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Budynek w miejscowości Kołaki 6A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ekspoatacja</w:t>
            </w:r>
            <w:proofErr w:type="spellEnd"/>
          </w:p>
          <w:p w:rsidR="0000592B" w:rsidRDefault="0000592B">
            <w:pPr>
              <w:suppressAutoHyphens/>
              <w:spacing w:after="0" w:line="360" w:lineRule="auto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  <w:p w:rsidR="0000592B" w:rsidRPr="00FB6CFA" w:rsidRDefault="0000592B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6527FE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27FE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  <w:p w:rsidR="0000592B" w:rsidRPr="006527FE" w:rsidRDefault="0000592B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  <w:p w:rsidR="0000592B" w:rsidRPr="00FB6CFA" w:rsidRDefault="0000592B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  <w:p w:rsidR="0000592B" w:rsidRPr="00FB6CFA" w:rsidRDefault="0000592B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  <w:p w:rsidR="0000592B" w:rsidRPr="00FB6CFA" w:rsidRDefault="0000592B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</w:tr>
      <w:tr w:rsidR="0022005C" w:rsidTr="0022005C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remont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Wymiana stolarki okiennej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1000 zł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6527FE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27FE">
              <w:rPr>
                <w:rFonts w:ascii="Times New Roman" w:eastAsia="Times New Roman" w:hAnsi="Times New Roman" w:cs="Times New Roman"/>
                <w:sz w:val="18"/>
                <w:szCs w:val="18"/>
              </w:rPr>
              <w:t>Wymiana stolarki okiennej</w:t>
            </w:r>
          </w:p>
          <w:p w:rsidR="0000592B" w:rsidRPr="006527FE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6527FE">
              <w:rPr>
                <w:rFonts w:ascii="Times New Roman" w:eastAsia="Times New Roman" w:hAnsi="Times New Roman" w:cs="Times New Roman"/>
                <w:sz w:val="18"/>
                <w:szCs w:val="18"/>
              </w:rPr>
              <w:t>1000 zł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Wymiana stolarki drzwiowej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1000 zł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Wymiana stolarki okiennej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1000 zł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Konserwacja pokrycia dachowego 1000 zł</w:t>
            </w:r>
          </w:p>
        </w:tc>
      </w:tr>
      <w:tr w:rsidR="0022005C" w:rsidTr="0022005C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Budynek po byłej Szkole Podstawowej w Głażewie-Cholewach  9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eksploatacja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6527FE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27FE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  <w:p w:rsidR="0000592B" w:rsidRPr="006527FE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6527F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sprzedany</w:t>
            </w:r>
          </w:p>
        </w:tc>
      </w:tr>
      <w:tr w:rsidR="0022005C" w:rsidTr="0022005C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remont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22005C" w:rsidRDefault="0022005C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005C">
              <w:rPr>
                <w:rFonts w:ascii="Times New Roman" w:eastAsia="Times New Roman" w:hAnsi="Times New Roman" w:cs="Times New Roman"/>
                <w:sz w:val="16"/>
                <w:szCs w:val="16"/>
              </w:rPr>
              <w:t>Konserwacja pokrycia dachowego</w:t>
            </w:r>
          </w:p>
          <w:p w:rsidR="0000592B" w:rsidRPr="0022005C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005C">
              <w:rPr>
                <w:rFonts w:ascii="Times New Roman" w:eastAsia="Times New Roman" w:hAnsi="Times New Roman" w:cs="Times New Roman"/>
                <w:sz w:val="16"/>
                <w:szCs w:val="16"/>
              </w:rPr>
              <w:t>1000 zł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</w:t>
            </w:r>
            <w:r w:rsidR="0022005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y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6527FE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65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Konserwacja pokrycia dachowego 1000 zł  </w:t>
            </w:r>
            <w:r w:rsidRPr="006527F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7FE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Konserwacja pokrycia dachowego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1000 zł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7FE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Konserwacja pokrycia dachowego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1000 zł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27FE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Konserwacja pokrycia dachowego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sz w:val="18"/>
                <w:szCs w:val="18"/>
              </w:rPr>
              <w:t>1000 zł</w:t>
            </w:r>
          </w:p>
          <w:p w:rsidR="0000592B" w:rsidRPr="00FB6CF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FB6CF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sprzedany</w:t>
            </w:r>
          </w:p>
        </w:tc>
      </w:tr>
      <w:tr w:rsidR="0022005C" w:rsidTr="0022005C"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uppressAutoHyphens/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00592B">
            <w:pPr>
              <w:suppressAutoHyphens/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600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2800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Pr="006527FE" w:rsidRDefault="00EE52F3">
            <w:pPr>
              <w:suppressAutoHyphens/>
              <w:spacing w:after="0" w:line="360" w:lineRule="auto"/>
              <w:rPr>
                <w:sz w:val="20"/>
                <w:szCs w:val="20"/>
              </w:rPr>
            </w:pPr>
            <w:r w:rsidRPr="006527FE">
              <w:rPr>
                <w:rFonts w:ascii="Times New Roman" w:eastAsia="Times New Roman" w:hAnsi="Times New Roman" w:cs="Times New Roman"/>
                <w:sz w:val="20"/>
                <w:szCs w:val="20"/>
              </w:rPr>
              <w:t>2800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2800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2800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2800</w:t>
            </w:r>
          </w:p>
        </w:tc>
      </w:tr>
    </w:tbl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Opis innych działań mających na celu poprawę wykorzystania i racjonalizację gospodarowania mieszkaniowym zasobem gminy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W  celu poprawy wykorzystania i racjonalizacji gospodarowania mieszkaniowym zasobem gminy planuje się w okresie obowiązywania niniejszego programu dążenie do prowadzenia remontów o takim zakresie, który nie wymaga przydzielenia lokalu zamiennego.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Lokale z mieszkaniowego zasobu gminy przeznacza się dla najemców, którzy nie są w stanie wynająć lokali z innych zasobów, a jednocześnie ich sytuacja finansowa pozwala na opłacenie czynszów w lokalach komunalnych.</w:t>
      </w:r>
    </w:p>
    <w:p w:rsidR="0000592B" w:rsidRDefault="00EE52F3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Gminny Programu Profilaktyki i Rozwiązywania Problemów Alkoholowych w Młynarzach </w:t>
      </w:r>
    </w:p>
    <w:p w:rsidR="0000592B" w:rsidRPr="00FB6CFA" w:rsidRDefault="00EE52F3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Zrealizowano następujące zadania w 2019 roku:</w:t>
      </w: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</w:pPr>
      <w:r w:rsidRPr="00FB6CFA">
        <w:rPr>
          <w:rFonts w:ascii="Times New Roman" w:eastAsia="Times New Roman" w:hAnsi="Times New Roman" w:cs="Times New Roman"/>
          <w:b/>
          <w:i/>
        </w:rPr>
        <w:t>1.Zwiększenie dostępności pomocy terapeutycznej i rehabilitacyjnej dla osób uzależnionych od alkoholu, w tym: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2"/>
        </w:numPr>
        <w:tabs>
          <w:tab w:val="left" w:pos="1440"/>
        </w:tabs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Działalność punktu konsultacyjnego dla osób z problemem alkoholowym</w:t>
      </w: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ind w:left="720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Gminna Komisja ds. Profilaktyki i Rozwiązywania Problemów Alkoholowych działała w składzie pięcioosobowym. Komisja prowadził rozmowy z osobami nadużywającymi alkohol na: 1 wniosek GOPS Młynarze, 5 wniosków od Posterunku Policji w Różanie. Wysłano 11 wezwań na rozmowę interwencyjno – motywującą w związku z częstym nadużywaniem napojów alkoholowych, przeprowadzono 1 rozmowę z żoną osoby zgłoszonej do Gminnej Komisji PIRPA. 7 osób skierowano na konsultacje do Punktu Konsultacyjnego.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3"/>
        </w:numPr>
        <w:spacing w:before="100" w:after="0" w:line="360" w:lineRule="auto"/>
      </w:pPr>
      <w:r w:rsidRPr="00FB6CFA">
        <w:rPr>
          <w:rFonts w:ascii="Times New Roman" w:eastAsia="Times New Roman" w:hAnsi="Times New Roman" w:cs="Times New Roman"/>
        </w:rPr>
        <w:t>Stale współpracowano z dzielnicowym, obsługującym teren Gminy w zakresie rozwiązywania problemów alkoholowych. Każdorazowo udzielano Policji informacji pisemnej w sprawie podejmowanych działań w stosunku do osób zgłaszanych przez Policję do Komisji. Współpracowano również kuratorem społecznym i sądowym w sprawach osób dozorowanych i nadużywających alkoholu.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3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W roku 2019 działał Punkt Konsultacyjny dla osób z problemem alkoholowym i członków ich rodzin (2 godziny raz w miesiącu). W Punkcie przyjmowała specjalista psychoterapii uzależnień z Ośrodka Terapii w Ostrołęce. Udzielono porad specjalistycznych: 2 osobom po leczeniu odwykowym od alkoholu, 8 osobom uzależnionym od alkoholu i 4 osobom współuzależnionym tj. członkom rodzin. Ogółem udzielono 22 porady.</w:t>
      </w: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rPr>
          <w:rFonts w:ascii="Times New Roman" w:eastAsia="Times New Roman" w:hAnsi="Times New Roman" w:cs="Times New Roman"/>
          <w:b/>
          <w:i/>
        </w:rPr>
      </w:pPr>
      <w:r w:rsidRPr="00FB6CFA">
        <w:rPr>
          <w:rFonts w:ascii="Times New Roman" w:eastAsia="Times New Roman" w:hAnsi="Times New Roman" w:cs="Times New Roman"/>
          <w:b/>
          <w:i/>
        </w:rPr>
        <w:t>2.Udzielanie rodzinom, w których występuje problemy alkoholowe pomocy psychologicznej i prawnej, a w szczególności ochrony przed przemocą w rodzinie –w tym: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4"/>
        </w:numPr>
        <w:tabs>
          <w:tab w:val="left" w:pos="1440"/>
        </w:tabs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lastRenderedPageBreak/>
        <w:t>Zwrot kosztów podróży dla osób uzależnionych i współuzależnionych dojeżdżających na zajęcia terapeutyczne i indywidualne konsultacje</w:t>
      </w: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rPr>
          <w:rFonts w:ascii="Times New Roman" w:eastAsia="Times New Roman" w:hAnsi="Times New Roman" w:cs="Times New Roman"/>
          <w:b/>
          <w:i/>
        </w:rPr>
      </w:pPr>
      <w:r w:rsidRPr="00FB6CFA">
        <w:rPr>
          <w:rFonts w:ascii="Times New Roman" w:eastAsia="Times New Roman" w:hAnsi="Times New Roman" w:cs="Times New Roman"/>
          <w:b/>
          <w:i/>
        </w:rPr>
        <w:t>3.Prowadzenie profilaktycznej działalności informacyjnej i edukacyjnej w zakresie rozwiązywania problemów alkoholowych, przeciwdziałania narkomanii w szczególności do dzieci i młodzieży 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5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Imprezy profilaktyczne promujące zdrowy styl życia m.in.: zawody sportowe, profilaktyczne spektakle teatralne, konkursy problemowe w tym: organizacja konkursów obejmowała jednocześni treści edukacyjne i profilaktyczne m.in. bezpieczeństwa na drodze, wiedzy pożarniczej itp.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5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Szkolenie dla członków gminnej komisji.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5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Szkolenie dla sprzedawców alkoholu.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5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Sfinansowanie diagnozy lokalnych zagrożeń społecznych na terenie gminy Młynarze.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5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Sfinansowanie programów profilaktycznych dla uczniów szkoły podstawowej w Młynarzach</w:t>
      </w: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ind w:left="360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 xml:space="preserve">     i gimnazjum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6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Prowadzenie akcji edukacyjnych dla uczniów szkoły podstawowej i gimnazjum w Młynarzach.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6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Dofinansowanie imprez kulturalnych i rodzinnych.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6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Wynagrodzenie dla członków gminnej komisji za udział w posiedzeniach.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6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 xml:space="preserve"> Zakup materiałów biurowych i eksploatacyjnych na potrzeby gminnej komisji.</w:t>
      </w: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rPr>
          <w:rFonts w:ascii="Times New Roman" w:eastAsia="Times New Roman" w:hAnsi="Times New Roman" w:cs="Times New Roman"/>
          <w:b/>
          <w:i/>
          <w:sz w:val="24"/>
        </w:rPr>
      </w:pP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rPr>
          <w:rFonts w:ascii="Times New Roman" w:eastAsia="Times New Roman" w:hAnsi="Times New Roman" w:cs="Times New Roman"/>
          <w:b/>
          <w:i/>
          <w:sz w:val="28"/>
        </w:rPr>
      </w:pPr>
      <w:r w:rsidRPr="00FB6CFA">
        <w:rPr>
          <w:rFonts w:ascii="Times New Roman" w:eastAsia="Times New Roman" w:hAnsi="Times New Roman" w:cs="Times New Roman"/>
          <w:b/>
          <w:i/>
          <w:sz w:val="28"/>
        </w:rPr>
        <w:t>Gminny Program Przeciwdziałania Narkomanii</w:t>
      </w: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W roku 2019 zrealizowano następujące zadania:</w:t>
      </w: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rPr>
          <w:rFonts w:ascii="Times New Roman" w:eastAsia="Times New Roman" w:hAnsi="Times New Roman" w:cs="Times New Roman"/>
          <w:b/>
          <w:bCs/>
        </w:rPr>
      </w:pPr>
      <w:r w:rsidRPr="00FB6CFA">
        <w:rPr>
          <w:rFonts w:ascii="Times New Roman" w:eastAsia="Times New Roman" w:hAnsi="Times New Roman" w:cs="Times New Roman"/>
          <w:b/>
          <w:bCs/>
        </w:rPr>
        <w:t>1. Prowadzenie profilaktycznej działalności informacyjnej, edukacyjnej oraz szkoleniowej w zakresie rozwiązywania problemów narkomanii i narkotyków, a szczególności dla dzieci i młodzieży w tym prowadzenie pozalekcyjnych zajęć sportowych dla dzieci i młodzieży: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7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 xml:space="preserve">Pozalekcyjne zajęcia sportowe miały na celu wspieranie wszechstronnego i harmonijnego rozwoju, uświadomienie konieczności dbania o własne zdrowie i bezpieczeństwo bez udziału różnego rodzaju używek. Zajęcia dla uczniów prowadzone były w trzech grupach tj. dla uczniów ze Szkoły Podstawowej i Gimnazjum cztery razy w tygodniu w ilości 90 godzin, dla młodzieży ponadgimnazjalnej i starszych zajęcia prowadzono w ilości 54 godzin. Młodzież uczestnicząc w zajęciach zobowiązana była do przestrzegania regulaminu zajęć, który odwoływał się do strategii osobistych decyzji abstynenckich, przekonań normatywnych: prawdziwy sportowiec nie pali, nie zażywa narkotyków i innych środków psychoaktywnych, </w:t>
      </w:r>
      <w:r w:rsidRPr="00FB6CFA">
        <w:rPr>
          <w:rFonts w:ascii="Times New Roman" w:eastAsia="Times New Roman" w:hAnsi="Times New Roman" w:cs="Times New Roman"/>
        </w:rPr>
        <w:lastRenderedPageBreak/>
        <w:t>prowadzi zdrowy styl życia.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7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Zakup akcesoriów sportowych do realizacji zajęć pozalekcyjnych.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7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Dofinansowanie organizacji konkursów w tym turniejów sportowych.</w:t>
      </w:r>
    </w:p>
    <w:p w:rsidR="00BB3C68" w:rsidRPr="00FB6CFA" w:rsidRDefault="00BB3C68" w:rsidP="00BB3C68">
      <w:pPr>
        <w:pStyle w:val="Standard"/>
        <w:widowControl w:val="0"/>
        <w:numPr>
          <w:ilvl w:val="0"/>
          <w:numId w:val="37"/>
        </w:numPr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Zakup materiałów biurowych na potrzeby gminnej komisji.</w:t>
      </w: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 w:rsidRPr="00FB6CFA">
        <w:rPr>
          <w:rFonts w:ascii="Times New Roman" w:eastAsia="Times New Roman" w:hAnsi="Times New Roman" w:cs="Times New Roman"/>
        </w:rPr>
        <w:t>Stale współpracowano z dzielnicowym Gminy Młynarze Posterunku Policji w Różanie, obsługującym teren Gminy w zakresie monitorowania sytuacji młodzieży z terenu gminy co do zażywania narkotyków jak i celem przeciwdziałania zjawisku narkomanii.</w:t>
      </w:r>
    </w:p>
    <w:p w:rsidR="00BB3C68" w:rsidRPr="00FB6CFA" w:rsidRDefault="00BB3C68" w:rsidP="00BB3C68">
      <w:pPr>
        <w:pStyle w:val="Standard"/>
        <w:widowControl w:val="0"/>
        <w:spacing w:before="100" w:after="0" w:line="360" w:lineRule="auto"/>
        <w:ind w:left="765"/>
        <w:rPr>
          <w:rFonts w:ascii="Times New Roman" w:eastAsia="Times New Roman" w:hAnsi="Times New Roman" w:cs="Times New Roman"/>
        </w:rPr>
      </w:pPr>
    </w:p>
    <w:p w:rsidR="00BB3C68" w:rsidRPr="00FB6CFA" w:rsidRDefault="00BB3C68" w:rsidP="00BB3C68">
      <w:pPr>
        <w:pStyle w:val="Standard"/>
        <w:spacing w:after="0" w:line="360" w:lineRule="auto"/>
      </w:pPr>
      <w:r w:rsidRPr="00FB6CFA">
        <w:rPr>
          <w:rFonts w:ascii="Times New Roman" w:eastAsia="Times New Roman" w:hAnsi="Times New Roman" w:cs="Times New Roman"/>
          <w:b/>
          <w:i/>
        </w:rPr>
        <w:t>Program współpracy Gminy Młynarze z organizacjami pozarz</w:t>
      </w:r>
      <w:r w:rsidRPr="00FB6CFA">
        <w:rPr>
          <w:rFonts w:ascii="Times New Roman" w:eastAsia="Times New Roman" w:hAnsi="Times New Roman" w:cs="Times New Roman"/>
          <w:i/>
        </w:rPr>
        <w:t>ą</w:t>
      </w:r>
      <w:r w:rsidRPr="00FB6CFA">
        <w:rPr>
          <w:rFonts w:ascii="Times New Roman" w:eastAsia="Times New Roman" w:hAnsi="Times New Roman" w:cs="Times New Roman"/>
          <w:b/>
          <w:i/>
        </w:rPr>
        <w:t>dowymi oraz</w:t>
      </w:r>
    </w:p>
    <w:p w:rsidR="00BB3C68" w:rsidRDefault="00BB3C68" w:rsidP="00BB3C68">
      <w:pPr>
        <w:pStyle w:val="Standard"/>
        <w:spacing w:after="0" w:line="360" w:lineRule="auto"/>
        <w:rPr>
          <w:rFonts w:ascii="Times New Roman" w:eastAsia="Times New Roman" w:hAnsi="Times New Roman" w:cs="Times New Roman"/>
          <w:b/>
          <w:i/>
          <w:color w:val="FF0000"/>
        </w:rPr>
      </w:pPr>
      <w:r w:rsidRPr="00FB6CFA">
        <w:rPr>
          <w:rFonts w:ascii="Times New Roman" w:eastAsia="Times New Roman" w:hAnsi="Times New Roman" w:cs="Times New Roman"/>
          <w:b/>
          <w:i/>
        </w:rPr>
        <w:t xml:space="preserve">podmiotami, o których mowa w art. 3 ust. 3 ustawy z dnia 24 kwietnia 2003 </w:t>
      </w:r>
      <w:r>
        <w:rPr>
          <w:rFonts w:ascii="Times New Roman" w:eastAsia="Times New Roman" w:hAnsi="Times New Roman" w:cs="Times New Roman"/>
          <w:b/>
          <w:i/>
          <w:color w:val="FF0000"/>
        </w:rPr>
        <w:t>r.</w:t>
      </w:r>
    </w:p>
    <w:p w:rsidR="00BB3C68" w:rsidRPr="00FB6CFA" w:rsidRDefault="00BB3C68" w:rsidP="00BB3C68">
      <w:pPr>
        <w:pStyle w:val="Standard"/>
        <w:spacing w:after="0" w:line="360" w:lineRule="auto"/>
      </w:pPr>
      <w:r w:rsidRPr="00FB6CFA">
        <w:rPr>
          <w:rFonts w:ascii="Times New Roman" w:eastAsia="Times New Roman" w:hAnsi="Times New Roman" w:cs="Times New Roman"/>
          <w:b/>
          <w:i/>
        </w:rPr>
        <w:t>o działalno</w:t>
      </w:r>
      <w:r w:rsidRPr="00FB6CFA">
        <w:rPr>
          <w:rFonts w:ascii="Times New Roman" w:eastAsia="Times New Roman" w:hAnsi="Times New Roman" w:cs="Times New Roman"/>
          <w:i/>
        </w:rPr>
        <w:t>ś</w:t>
      </w:r>
      <w:r w:rsidRPr="00FB6CFA">
        <w:rPr>
          <w:rFonts w:ascii="Times New Roman" w:eastAsia="Times New Roman" w:hAnsi="Times New Roman" w:cs="Times New Roman"/>
          <w:b/>
          <w:i/>
        </w:rPr>
        <w:t>ci pożytku publicznego i o wolontariacie, na 201</w:t>
      </w:r>
      <w:r w:rsidR="00FB6CFA" w:rsidRPr="00FB6CFA">
        <w:rPr>
          <w:rFonts w:ascii="Times New Roman" w:eastAsia="Times New Roman" w:hAnsi="Times New Roman" w:cs="Times New Roman"/>
          <w:b/>
          <w:i/>
        </w:rPr>
        <w:t>9</w:t>
      </w:r>
      <w:r w:rsidRPr="00FB6CFA">
        <w:rPr>
          <w:rFonts w:ascii="Times New Roman" w:eastAsia="Times New Roman" w:hAnsi="Times New Roman" w:cs="Times New Roman"/>
          <w:b/>
          <w:i/>
        </w:rPr>
        <w:t xml:space="preserve"> rok.</w:t>
      </w:r>
    </w:p>
    <w:p w:rsidR="00BB3C68" w:rsidRDefault="00BB3C68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  <w:b/>
          <w:i/>
          <w:color w:val="FF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Cel główny i cele szczegółowe programu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1. Celem głównym Programu jest rozwijanie działań związanych z tworzeniem demokratycznego ładu społecznego w środowisku lokalnym, poprzez budowanie partnerstwa pomiędzy administracją samorządową i organizacjami pozarządowymi, a także wspieranie organizacji pozarządowych w realizacji własnych celów społecznych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2. Cele szczegółowe Programu obejmują działania zmierzające do tworzenia warunków dla powstania inicjatyw i struktur funkcjonujących na rzecz społeczności lokalnej w tym: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- organizowanie i wspieranie działań społecznych na rzecz Gminy i rozwoju więzi lokalnych;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-  tworzenie warunków do zwiększenia aktywności społecznej mieszkańców;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- poprawa jakości życia poprzez pełniejsze zaspokajanie potrzeb społecznych;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- zwiększenie udziału zadań realizowanych przez Gminę we współdziałaniu organizacjami pozarządowymi;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- umacnianie w świadomości społecznej poczucia odpowiedzialności za siebie, swoje otoczenie, wspólnotę lokalną oraz jej tradycję.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350D65" w:rsidRDefault="00350D65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</w:p>
    <w:p w:rsidR="00350D65" w:rsidRDefault="00350D65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Zasady współpracy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Współpraca realizowana jest w oparciu o zasady: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- jawności – oznacza to, że wszystkie możliwości współpracy Gminy z organizacjami pozarządowymi są powszechnie dostępne oraz jasne i zrozumiałe w zakresie stosowanych procedur i kryteriów podejmowanych decyzji;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-  pomocniczości – oznacza to, że Gmina powierza organizacjom realizację zadań własnych, a organizacje pozarządowe zapewniają ich wykonanie w sposób ekonomiczny, profesjonalny i terminowy;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- efektywności – oznacza to, że Gmina i organizacje pozarządowe wspólnie dążą do osiągnięcia możliwie największych efektów realizacji zadań publicznych.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Obszary współpracy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Współpraca z organizacjami pozarządowymi dotyczy zadań określonych w art.7 ust. 1 ustawy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z dnia 8 marca 1990 r. o samorządzie gminnym (j.t. Dz. U. Z 2017, poz.1875</w:t>
      </w:r>
      <w:r w:rsidR="00FB6CFA">
        <w:rPr>
          <w:rFonts w:ascii="Times New Roman" w:eastAsia="Times New Roman" w:hAnsi="Times New Roman" w:cs="Times New Roman"/>
          <w:color w:val="000000"/>
        </w:rPr>
        <w:t xml:space="preserve"> z pózn.zm</w:t>
      </w:r>
      <w:r>
        <w:rPr>
          <w:rFonts w:ascii="Times New Roman" w:eastAsia="Times New Roman" w:hAnsi="Times New Roman" w:cs="Times New Roman"/>
          <w:color w:val="000000"/>
        </w:rPr>
        <w:t xml:space="preserve"> ),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a w szczególności zadań własnych gminy obejmujących następujące obszary:</w:t>
      </w:r>
    </w:p>
    <w:p w:rsidR="0000592B" w:rsidRDefault="00EE52F3">
      <w:pPr>
        <w:numPr>
          <w:ilvl w:val="0"/>
          <w:numId w:val="12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kultury i ochrony dziedzictwa kulturowego;</w:t>
      </w:r>
    </w:p>
    <w:p w:rsidR="0000592B" w:rsidRDefault="00EE52F3">
      <w:pPr>
        <w:numPr>
          <w:ilvl w:val="0"/>
          <w:numId w:val="12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kultury fizycznej i sportu;</w:t>
      </w:r>
    </w:p>
    <w:p w:rsidR="0000592B" w:rsidRDefault="00EE52F3">
      <w:pPr>
        <w:numPr>
          <w:ilvl w:val="0"/>
          <w:numId w:val="12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profilaktyki i rozwiązywania problemów alkoholowych i innych uzależnień oraz integracji społecznej;</w:t>
      </w:r>
    </w:p>
    <w:p w:rsidR="0000592B" w:rsidRDefault="00EE52F3">
      <w:pPr>
        <w:numPr>
          <w:ilvl w:val="0"/>
          <w:numId w:val="12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wypoczynku dzieci i młodzieży;</w:t>
      </w:r>
    </w:p>
    <w:p w:rsidR="0000592B" w:rsidRDefault="00EE52F3">
      <w:pPr>
        <w:numPr>
          <w:ilvl w:val="0"/>
          <w:numId w:val="12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ochrony i promocji zdrowia;</w:t>
      </w:r>
    </w:p>
    <w:p w:rsidR="0000592B" w:rsidRDefault="00EE52F3">
      <w:pPr>
        <w:numPr>
          <w:ilvl w:val="0"/>
          <w:numId w:val="12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pomocy społecznej.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Formy współpracy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</w:p>
    <w:p w:rsidR="0000592B" w:rsidRDefault="00EE52F3">
      <w:pPr>
        <w:numPr>
          <w:ilvl w:val="0"/>
          <w:numId w:val="13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Współpraca Gminy z organizacjami pozarządowymi może być prowadzona w formie finansowej i pozafinansowej.</w:t>
      </w:r>
    </w:p>
    <w:p w:rsidR="0000592B" w:rsidRDefault="00EE52F3">
      <w:pPr>
        <w:numPr>
          <w:ilvl w:val="0"/>
          <w:numId w:val="13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Formy współpracy finansowej: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- powierzanie wykonania zadań publicznych wraz z udzieleniem dotacji na sfinansowanie jego realizacji;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- wspieranie wykonania zadań publicznych wraz z udzieleniem dotacji na dofinansowanie jego realizacji;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wynajmowanie na najkorzystniejszych warunkach budynków i lokali komunalnych.</w:t>
      </w:r>
    </w:p>
    <w:p w:rsidR="0000592B" w:rsidRDefault="00EE52F3">
      <w:pPr>
        <w:numPr>
          <w:ilvl w:val="0"/>
          <w:numId w:val="14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Formy współpracy pozafinansowej: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 - informowanie o zadaniach publicznych, które będą realizowane w danym roku wraz z podaniem wysokości środków przeznaczonych w budżecie Gminy na realizację tych zadań;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- wzajemne informowanie się o planowanych kierunkach działalności i współdziałania w celu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  zharmonizowania tych kierunków;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konsultowanie z organizacjami pozarządowymi, odpowiednio do zakresu ich działania, projektów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 aktów normatywnych w dziedzinach dotyczących działalności statutowej tych organizacji;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nieodpłatne udostępnianie lokali, sprzętu technicznego itp. na spotkania organizacji lub spotkania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otwarte związane z działalnością statutową;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tworzenie wspólnych zespołów o charakterze doradczym i inicjatywnym.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Zadania priorytetowe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Zadaniami priorytetowymi w zakresie współpracy Gminy z organizacjami pozarządowymi są: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1)</w:t>
      </w:r>
      <w:r>
        <w:rPr>
          <w:rFonts w:ascii="Times New Roman" w:eastAsia="Times New Roman" w:hAnsi="Times New Roman" w:cs="Times New Roman"/>
          <w:color w:val="000000"/>
        </w:rPr>
        <w:t xml:space="preserve"> w zakresie kultury i ochrony dziedzictwa kulturowego: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a/ wspieranie społecznych lokalnych inicjatyw kulturalnych;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b/ wspieranie amatorskiego ruchu artystycznego;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c/ wspieranie przedsięwzięć artystycznych realizowanych na terenie Gminy Młynarze;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d/ wspieranie przedsięwzięć promujących i utrwalających dziedzictwo kulturowe;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2</w:t>
      </w:r>
      <w:r>
        <w:rPr>
          <w:rFonts w:ascii="Times New Roman" w:eastAsia="Times New Roman" w:hAnsi="Times New Roman" w:cs="Times New Roman"/>
          <w:color w:val="000000"/>
        </w:rPr>
        <w:t>) w zakresie kultury fizycznej i sportu: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a/ wspieranie zadań polegających na upowszechnianiu kultury fizycznej i sportu;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b/ wspieranie organizacji imprez sportowo-rekreacyjnych;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</w:rPr>
        <w:t>3</w:t>
      </w:r>
      <w:r>
        <w:rPr>
          <w:rFonts w:ascii="Times New Roman" w:eastAsia="Times New Roman" w:hAnsi="Times New Roman" w:cs="Times New Roman"/>
          <w:color w:val="000000"/>
        </w:rPr>
        <w:t>) w zakresie działań na rzecz dzieci i młodzieży: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a/ wspieranie działa</w:t>
      </w:r>
      <w:r>
        <w:rPr>
          <w:rFonts w:ascii="Times New Roman" w:eastAsia="Times New Roman" w:hAnsi="Times New Roman" w:cs="Times New Roman"/>
          <w:color w:val="000000"/>
        </w:rPr>
        <w:t>ń w zakresie przeciwdziałania i zapobiegania zjawiskom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patologicznym poprzez organizację czasu wolnego dla dzieci i młodzieży;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b/ wspieranie realizacji programów profilaktycznych realizowanych na rzecz dzieci i młodzieży w świetlicy socjoterapeutycznej;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c/ wspieranie działań edukacyjnych dla dzieci i młodzieży propagujących życie bez nałogów;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d/ wspieranie działań w zakresie integracji osób niepełnosprawnych;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</w:rPr>
        <w:t>4)</w:t>
      </w:r>
      <w:r>
        <w:rPr>
          <w:rFonts w:ascii="Times New Roman" w:eastAsia="Times New Roman" w:hAnsi="Times New Roman" w:cs="Times New Roman"/>
          <w:color w:val="000000"/>
        </w:rPr>
        <w:t xml:space="preserve"> w zakresie wypoczynku dzieci i młodzieży: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a/ powierzenie organizacji wypoczynku letniego dla dzieci i młodzieży;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b/ powierzenie organizacji wypoczynku zimowego dla dzieci i młodzieży;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5</w:t>
      </w:r>
      <w:r>
        <w:rPr>
          <w:rFonts w:ascii="Times New Roman" w:eastAsia="Times New Roman" w:hAnsi="Times New Roman" w:cs="Times New Roman"/>
          <w:color w:val="000000"/>
        </w:rPr>
        <w:t>) w zakresie ochrony i promocji zdrowia: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a/ wspieranie działa</w:t>
      </w:r>
      <w:r>
        <w:rPr>
          <w:rFonts w:ascii="Times New Roman" w:eastAsia="Times New Roman" w:hAnsi="Times New Roman" w:cs="Times New Roman"/>
          <w:color w:val="000000"/>
        </w:rPr>
        <w:t>ń w zakresie badań profilaktycznych mieszkańców;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b/ wspieranie działań mających na celu promocję zdrowego stylu życia i promocję honorowego krwiodawstwa;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c/ wspieranie działań w zakresie pomocy osobom niepełnosprawnym;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</w:rPr>
        <w:t>6)</w:t>
      </w:r>
      <w:r>
        <w:rPr>
          <w:rFonts w:ascii="Times New Roman" w:eastAsia="Times New Roman" w:hAnsi="Times New Roman" w:cs="Times New Roman"/>
          <w:color w:val="000000"/>
        </w:rPr>
        <w:t xml:space="preserve"> w zakresie pomocy społecznej: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a/ zapewnienie opieki nad dziećmi  z rodzin ubogich, niewydolnych wychowawczo i ekonomicznie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oraz zagrożonych patologią społeczną</w:t>
      </w:r>
      <w:r>
        <w:rPr>
          <w:rFonts w:ascii="Times New Roman" w:eastAsia="Times New Roman" w:hAnsi="Times New Roman" w:cs="Times New Roman"/>
          <w:b/>
          <w:color w:val="000000"/>
        </w:rPr>
        <w:t>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b/  świadczenie usług opiekuńczych w miejscu zamieszkania – osobom starszym,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  samotnym, chorym, niepełnosprawnym.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Sposób realizacji programu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numPr>
          <w:ilvl w:val="0"/>
          <w:numId w:val="15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Zlecanie realizacji zadań Gminy organizacjom pozarządowym obejmuje w pierwszej kolejności zadania priorytetowe i odbywać się będzie po przeprowadzeniu otwartego konkursu ofert, chyba że przepisy odrębne przewidują inny tryb zlecania.</w:t>
      </w:r>
    </w:p>
    <w:p w:rsidR="0000592B" w:rsidRDefault="00EE52F3">
      <w:pPr>
        <w:numPr>
          <w:ilvl w:val="0"/>
          <w:numId w:val="15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Konkurs dotyczący realizacji zadań ogłasza Wójt.</w:t>
      </w:r>
    </w:p>
    <w:p w:rsidR="0000592B" w:rsidRDefault="00EE52F3">
      <w:pPr>
        <w:numPr>
          <w:ilvl w:val="0"/>
          <w:numId w:val="15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Konkurs ogłasza się na co najmniej 30 dni przed jego rozstrzygnięciem.</w:t>
      </w:r>
    </w:p>
    <w:p w:rsidR="0000592B" w:rsidRDefault="00EE52F3">
      <w:pPr>
        <w:numPr>
          <w:ilvl w:val="0"/>
          <w:numId w:val="15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Otwarty konkurs ofert ogłasza się w Biuletynie Informacji Publicznej </w:t>
      </w:r>
      <w:hyperlink r:id="rId10">
        <w:r>
          <w:rPr>
            <w:rFonts w:ascii="Times New Roman" w:eastAsia="Times New Roman" w:hAnsi="Times New Roman" w:cs="Times New Roman"/>
            <w:color w:val="0000FF"/>
            <w:u w:val="single"/>
          </w:rPr>
          <w:t>www.mlynarze.bipgminy.pl</w:t>
        </w:r>
      </w:hyperlink>
      <w:r>
        <w:rPr>
          <w:rFonts w:ascii="Times New Roman" w:eastAsia="Times New Roman" w:hAnsi="Times New Roman" w:cs="Times New Roman"/>
          <w:color w:val="0000FF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oraz na tablicy ogłoszeń w Urzędzie Gminy.</w:t>
      </w:r>
    </w:p>
    <w:p w:rsidR="0000592B" w:rsidRDefault="00EE52F3">
      <w:pPr>
        <w:numPr>
          <w:ilvl w:val="0"/>
          <w:numId w:val="15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Ostateczną decyzje, co do wyboru ofert i przyznania dotacji podejmuje Wójt.</w:t>
      </w:r>
    </w:p>
    <w:p w:rsidR="0000592B" w:rsidRDefault="00EE52F3">
      <w:pPr>
        <w:numPr>
          <w:ilvl w:val="0"/>
          <w:numId w:val="15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Wyniki konkursu są publikowane w Biuletynie Informacji Publicznej mlynarze.bipgminy.pl, na stronie internetowej Gminy</w:t>
      </w:r>
      <w:r>
        <w:rPr>
          <w:rFonts w:ascii="Times New Roman" w:eastAsia="Times New Roman" w:hAnsi="Times New Roman" w:cs="Times New Roman"/>
          <w:color w:val="0000FF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oraz na tablicy ogłoszeń w Urzędzie Gminy.</w:t>
      </w:r>
    </w:p>
    <w:p w:rsidR="0000592B" w:rsidRDefault="00EE52F3">
      <w:pPr>
        <w:numPr>
          <w:ilvl w:val="0"/>
          <w:numId w:val="15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Wójt może zlecić organizacji pozarządowej realizacje zadania publicznego – na wniosek tej organizacji z pominięciem otwartego konkursu ofert. Szczegółowe warunki oraz tryb przyznawania dofinansowania określa art. 19a Ustawy.</w:t>
      </w:r>
    </w:p>
    <w:p w:rsidR="0000592B" w:rsidRDefault="00EE52F3">
      <w:pPr>
        <w:numPr>
          <w:ilvl w:val="0"/>
          <w:numId w:val="15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Powierzenie realizacji zadania każdorazowo powinno być poprzedzone analizą, czy realizacja zadania w innym trybie pozwoli na efektywniejszą realizację zadania zgodnie z art.11 ust.4 ustawy.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Wysoko</w:t>
      </w:r>
      <w:r>
        <w:rPr>
          <w:rFonts w:ascii="Times New Roman" w:eastAsia="Times New Roman" w:hAnsi="Times New Roman" w:cs="Times New Roman"/>
          <w:i/>
          <w:color w:val="000000"/>
        </w:rPr>
        <w:t>ść ś</w:t>
      </w:r>
      <w:r>
        <w:rPr>
          <w:rFonts w:ascii="Times New Roman" w:eastAsia="Times New Roman" w:hAnsi="Times New Roman" w:cs="Times New Roman"/>
          <w:b/>
          <w:i/>
          <w:color w:val="000000"/>
        </w:rPr>
        <w:t>rodków przeznaczonych na realizacj</w:t>
      </w:r>
      <w:r>
        <w:rPr>
          <w:rFonts w:ascii="Times New Roman" w:eastAsia="Times New Roman" w:hAnsi="Times New Roman" w:cs="Times New Roman"/>
          <w:i/>
          <w:color w:val="000000"/>
        </w:rPr>
        <w:t xml:space="preserve">ę </w:t>
      </w:r>
      <w:r>
        <w:rPr>
          <w:rFonts w:ascii="Times New Roman" w:eastAsia="Times New Roman" w:hAnsi="Times New Roman" w:cs="Times New Roman"/>
          <w:b/>
          <w:i/>
          <w:color w:val="000000"/>
        </w:rPr>
        <w:t>programu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Prognozowana wysokość środków finansowych na realizację zadań własnych Gminy przez organizacje poz</w:t>
      </w:r>
      <w:r w:rsidR="00CD57D0">
        <w:rPr>
          <w:rFonts w:ascii="Times New Roman" w:eastAsia="Times New Roman" w:hAnsi="Times New Roman" w:cs="Times New Roman"/>
          <w:color w:val="000000"/>
        </w:rPr>
        <w:t>arządowe i inne podmioty na 2019</w:t>
      </w:r>
      <w:r>
        <w:rPr>
          <w:rFonts w:ascii="Times New Roman" w:eastAsia="Times New Roman" w:hAnsi="Times New Roman" w:cs="Times New Roman"/>
          <w:color w:val="000000"/>
        </w:rPr>
        <w:t xml:space="preserve"> rok wynosi 1.000, 00 zł (słownie tysiąc zł )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Sposób oceny realizacji programu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00592B" w:rsidRDefault="00EE52F3">
      <w:pPr>
        <w:numPr>
          <w:ilvl w:val="0"/>
          <w:numId w:val="16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Miernikami efektywności realizacji Programu są w szczególności informacje dotyczące: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-  liczby zadań przekazanych organizacjom pozarządowym do realizacji w ramach otwartego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konkursu ofert;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- liczby ofert, które wpłynęły od organizacji pozarządowych;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- liczby umów zawartych z organizacjami pozarządowymi na realizację zadań publicznych;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- liczby wspólnych przedsięwzięć podejmowanych przez organizacje pozarządowe i Gminę;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- liczby osób, które były adresatami (beneficjentami) działań publicznych realizowanych przez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organizacje pozarządowe.</w:t>
      </w:r>
    </w:p>
    <w:p w:rsidR="0000592B" w:rsidRPr="00244227" w:rsidRDefault="00EE52F3" w:rsidP="00244227">
      <w:pPr>
        <w:numPr>
          <w:ilvl w:val="0"/>
          <w:numId w:val="17"/>
        </w:numPr>
        <w:suppressAutoHyphens/>
        <w:spacing w:after="0" w:line="36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Bieżącym monitoringiem realizacji zadań Programu zajmuje się właściwe merytorycznie stanowisko pracy Urzędu Gminy</w:t>
      </w:r>
      <w:r>
        <w:rPr>
          <w:rFonts w:ascii="Calibri" w:eastAsia="Calibri" w:hAnsi="Calibri" w:cs="Calibri"/>
        </w:rPr>
        <w:t>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Oświata i kultura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u w:val="single"/>
          <w:shd w:val="clear" w:color="auto" w:fill="FFFFFF"/>
        </w:rPr>
        <w:t>Zadania oświatowe wynikają w szczególności z postanowień: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Ustawy z dnia 8 marca 1990 r. o samorządzie gminnym (Dz. U. z 2018 r., poz. 994 ze zm.)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-zaspokajanie zbiorowych potrzeb wspólnoty, między innymi w zakresie edukacji publicznej, należy do zadań własnych gminy.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shd w:val="clear" w:color="auto" w:fill="FFFFFF"/>
        </w:rPr>
        <w:t>2. Ustawy z dnia 14 grudnia 2016 roku Prawo oświatowe (Dz. U. z 2018, poz. 996 )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shd w:val="clear" w:color="auto" w:fill="FFFFFF"/>
        </w:rPr>
        <w:t xml:space="preserve"> - w zakresie: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* zakładania i prowadzenia przedszkoli, w tym przedszkoli specjalnych, szkół podstawowych i gimnazjów;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* zapewnienia kształcenia, wychowania i opieki, w tym profilaktyki społecznej;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* zapewnienia warunków działania szkoły lub placówki, w tym bezpiecznych i higienicznych warunków nauki, wychowania i opieki oraz warunków umożliwiających stosowanie specjalnej organizacji nauki i metod pracy dla dzieci i młodzieży objętych kształceniem specjalnym;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* zapewnienia obsługi administracyjnej, finansowej i organizacyjnej;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*wyposażenia szkoły lub placówki w pomoce dydaktyczne i sprzęt niezbędny do pełnej realizacji programów  nauczania, programów wychowawczych;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*przeprowadzania sprawdzianów i egzaminów oraz wykonywania innych zadań statutowych.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  <w:shd w:val="clear" w:color="auto" w:fill="FFFFFF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shd w:val="clear" w:color="auto" w:fill="FFFFFF"/>
        </w:rPr>
        <w:t>3.Ustawy z dnia 26 stycznia 1982 r. –Karta Nauczyciela (Dz. U. z 2018 r. poz. 967 ze zm.), w zakresie stanowienia o wysokości niektórych składników wynagrodzenia nauczycieli oraz wspierania nauczycieli w procesie dydaktyczno–wychowawczym.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4.Rozporządzeń resortowych, w szczególności rozporządzeń Ministra Edukacji Narodowej.</w:t>
      </w:r>
    </w:p>
    <w:p w:rsidR="0000592B" w:rsidRDefault="00EE52F3">
      <w:pPr>
        <w:widowControl w:val="0"/>
        <w:numPr>
          <w:ilvl w:val="0"/>
          <w:numId w:val="18"/>
        </w:numPr>
        <w:tabs>
          <w:tab w:val="left" w:pos="708"/>
        </w:tabs>
        <w:suppressAutoHyphens/>
        <w:spacing w:before="280" w:after="280" w:line="360" w:lineRule="auto"/>
        <w:ind w:left="720" w:hanging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Stan organizacji i baza lokalowa</w:t>
      </w:r>
    </w:p>
    <w:p w:rsidR="0000592B" w:rsidRPr="0089454C" w:rsidRDefault="00EE52F3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  <w:r w:rsidRPr="0089454C">
        <w:rPr>
          <w:rFonts w:ascii="Times New Roman" w:eastAsia="Times New Roman" w:hAnsi="Times New Roman" w:cs="Times New Roman"/>
          <w:shd w:val="clear" w:color="auto" w:fill="FFFFFF"/>
        </w:rPr>
        <w:t>Gmina Młynarze jest organem prowadzącym Publicznej Szkoły Podstawowej im. Papieża Jana Pawła II z Publicznym Przedszkolem</w:t>
      </w:r>
      <w:r w:rsidR="0089454C">
        <w:rPr>
          <w:rFonts w:ascii="Times New Roman" w:eastAsia="Times New Roman" w:hAnsi="Times New Roman" w:cs="Times New Roman"/>
          <w:shd w:val="clear" w:color="auto" w:fill="FFFFFF"/>
        </w:rPr>
        <w:t xml:space="preserve"> w Młynarzach</w:t>
      </w:r>
      <w:r w:rsidRPr="0089454C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FB6CFA" w:rsidRPr="0089454C">
        <w:rPr>
          <w:rFonts w:ascii="Times New Roman" w:eastAsia="Times New Roman" w:hAnsi="Times New Roman" w:cs="Times New Roman"/>
          <w:shd w:val="clear" w:color="auto" w:fill="FFFFFF"/>
        </w:rPr>
        <w:t>.</w:t>
      </w:r>
      <w:r w:rsidR="0089454C" w:rsidRPr="0089454C">
        <w:rPr>
          <w:rFonts w:ascii="Times New Roman" w:eastAsia="Times New Roman" w:hAnsi="Times New Roman" w:cs="Times New Roman"/>
          <w:shd w:val="clear" w:color="auto" w:fill="FFFFFF"/>
        </w:rPr>
        <w:t xml:space="preserve"> Do dnia 31.08.2019 r. była również organem prowadzącym Publicznego Gimnazjum im. Papieża Jana Pawła II w Młynarzach.</w:t>
      </w:r>
      <w:r w:rsidR="0089454C">
        <w:rPr>
          <w:rFonts w:ascii="Times New Roman" w:eastAsia="Times New Roman" w:hAnsi="Times New Roman" w:cs="Times New Roman"/>
          <w:shd w:val="clear" w:color="auto" w:fill="FFFFFF"/>
        </w:rPr>
        <w:t xml:space="preserve"> Stan organizacji szkoły podstawowej i gimnazjum</w:t>
      </w:r>
      <w:r w:rsidRPr="0089454C">
        <w:rPr>
          <w:rFonts w:ascii="Times New Roman" w:eastAsia="Times New Roman" w:hAnsi="Times New Roman" w:cs="Times New Roman"/>
          <w:shd w:val="clear" w:color="auto" w:fill="FFFFFF"/>
        </w:rPr>
        <w:t xml:space="preserve"> roku szkolnym 201</w:t>
      </w:r>
      <w:r w:rsidR="00FB6CFA" w:rsidRPr="0089454C">
        <w:rPr>
          <w:rFonts w:ascii="Times New Roman" w:eastAsia="Times New Roman" w:hAnsi="Times New Roman" w:cs="Times New Roman"/>
          <w:shd w:val="clear" w:color="auto" w:fill="FFFFFF"/>
        </w:rPr>
        <w:t>9</w:t>
      </w:r>
      <w:r w:rsidRPr="0089454C">
        <w:rPr>
          <w:rFonts w:ascii="Times New Roman" w:eastAsia="Times New Roman" w:hAnsi="Times New Roman" w:cs="Times New Roman"/>
          <w:shd w:val="clear" w:color="auto" w:fill="FFFFFF"/>
        </w:rPr>
        <w:t xml:space="preserve"> obrazuje poniższa tabela.</w:t>
      </w:r>
    </w:p>
    <w:p w:rsidR="0000592B" w:rsidRDefault="0000592B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CD57D0" w:rsidRDefault="00CD57D0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CD57D0" w:rsidRDefault="00CD57D0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CD57D0" w:rsidRDefault="00CD57D0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00592B" w:rsidRDefault="00EE52F3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t>Stan organizacji szkoły pod</w:t>
      </w:r>
      <w:r w:rsidR="004526A0">
        <w:rPr>
          <w:rFonts w:ascii="Times New Roman" w:eastAsia="Times New Roman" w:hAnsi="Times New Roman" w:cs="Times New Roman"/>
          <w:b/>
          <w:shd w:val="clear" w:color="auto" w:fill="FFFFFF"/>
        </w:rPr>
        <w:t>stawowej i gimnazjum w roku 2019</w:t>
      </w:r>
    </w:p>
    <w:tbl>
      <w:tblPr>
        <w:tblW w:w="0" w:type="auto"/>
        <w:tblInd w:w="7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29"/>
        <w:gridCol w:w="1830"/>
        <w:gridCol w:w="1243"/>
        <w:gridCol w:w="993"/>
        <w:gridCol w:w="658"/>
        <w:gridCol w:w="408"/>
        <w:gridCol w:w="423"/>
        <w:gridCol w:w="388"/>
        <w:gridCol w:w="449"/>
        <w:gridCol w:w="441"/>
        <w:gridCol w:w="423"/>
        <w:gridCol w:w="441"/>
        <w:gridCol w:w="394"/>
        <w:gridCol w:w="537"/>
      </w:tblGrid>
      <w:tr w:rsidR="004526A0" w:rsidTr="00495C02">
        <w:trPr>
          <w:cantSplit/>
          <w:trHeight w:val="1"/>
        </w:trPr>
        <w:tc>
          <w:tcPr>
            <w:tcW w:w="3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4526A0" w:rsidRDefault="004526A0">
            <w:pPr>
              <w:widowControl w:val="0"/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4526A0" w:rsidRDefault="004526A0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Wyszczególnienie</w:t>
            </w:r>
          </w:p>
        </w:tc>
        <w:tc>
          <w:tcPr>
            <w:tcW w:w="12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4526A0" w:rsidRDefault="004526A0" w:rsidP="00495C02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Liczba oddziałów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4526A0" w:rsidRDefault="004526A0" w:rsidP="00495C02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Liczba uczniów*</w:t>
            </w:r>
          </w:p>
        </w:tc>
        <w:tc>
          <w:tcPr>
            <w:tcW w:w="456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4526A0" w:rsidRDefault="004526A0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w tym:</w:t>
            </w:r>
          </w:p>
        </w:tc>
      </w:tr>
      <w:tr w:rsidR="004526A0" w:rsidTr="00495C02">
        <w:trPr>
          <w:trHeight w:val="1"/>
        </w:trPr>
        <w:tc>
          <w:tcPr>
            <w:tcW w:w="3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4526A0" w:rsidRDefault="004526A0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4526A0" w:rsidRDefault="004526A0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4526A0" w:rsidRDefault="004526A0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4526A0" w:rsidRDefault="004526A0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4526A0" w:rsidRPr="00495C02" w:rsidRDefault="004526A0">
            <w:pPr>
              <w:widowControl w:val="0"/>
              <w:spacing w:after="119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Przed</w:t>
            </w:r>
          </w:p>
          <w:p w:rsidR="004526A0" w:rsidRPr="00495C02" w:rsidRDefault="004526A0">
            <w:pPr>
              <w:widowControl w:val="0"/>
              <w:spacing w:before="100" w:after="0" w:line="360" w:lineRule="auto"/>
            </w:pPr>
            <w:r w:rsidRPr="00495C02">
              <w:rPr>
                <w:rFonts w:ascii="Times New Roman" w:eastAsia="Times New Roman" w:hAnsi="Times New Roman" w:cs="Times New Roman"/>
              </w:rPr>
              <w:t>szkole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4526A0" w:rsidRPr="00495C02" w:rsidRDefault="004526A0">
            <w:pPr>
              <w:widowControl w:val="0"/>
              <w:spacing w:after="0" w:line="360" w:lineRule="auto"/>
            </w:pPr>
            <w:r w:rsidRPr="00495C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4526A0" w:rsidRPr="00495C02" w:rsidRDefault="004526A0">
            <w:pPr>
              <w:widowControl w:val="0"/>
              <w:spacing w:after="0" w:line="360" w:lineRule="auto"/>
            </w:pPr>
            <w:r w:rsidRPr="00495C02">
              <w:rPr>
                <w:rFonts w:ascii="Times New Roman" w:eastAsia="Times New Roman" w:hAnsi="Times New Roman" w:cs="Times New Roman"/>
              </w:rPr>
              <w:t>I</w:t>
            </w:r>
          </w:p>
        </w:tc>
        <w:tc>
          <w:tcPr>
            <w:tcW w:w="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4526A0" w:rsidRPr="00495C02" w:rsidRDefault="004526A0">
            <w:pPr>
              <w:widowControl w:val="0"/>
              <w:spacing w:after="0" w:line="360" w:lineRule="auto"/>
            </w:pPr>
            <w:r w:rsidRPr="00495C02">
              <w:rPr>
                <w:rFonts w:ascii="Times New Roman" w:eastAsia="Times New Roman" w:hAnsi="Times New Roman" w:cs="Times New Roman"/>
              </w:rPr>
              <w:t>II</w:t>
            </w:r>
          </w:p>
        </w:tc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4526A0" w:rsidRPr="00495C02" w:rsidRDefault="004526A0">
            <w:pPr>
              <w:widowControl w:val="0"/>
              <w:spacing w:after="0" w:line="360" w:lineRule="auto"/>
            </w:pPr>
            <w:r w:rsidRPr="00495C02">
              <w:rPr>
                <w:rFonts w:ascii="Times New Roman" w:eastAsia="Times New Roman" w:hAnsi="Times New Roman" w:cs="Times New Roman"/>
              </w:rPr>
              <w:t>III</w:t>
            </w:r>
          </w:p>
        </w:tc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4526A0" w:rsidRPr="00495C02" w:rsidRDefault="004526A0">
            <w:pPr>
              <w:widowControl w:val="0"/>
              <w:spacing w:after="0" w:line="360" w:lineRule="auto"/>
            </w:pPr>
            <w:r w:rsidRPr="00495C02">
              <w:rPr>
                <w:rFonts w:ascii="Times New Roman" w:eastAsia="Times New Roman" w:hAnsi="Times New Roman" w:cs="Times New Roman"/>
              </w:rPr>
              <w:t>IV</w:t>
            </w:r>
          </w:p>
        </w:tc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4526A0" w:rsidRPr="00495C02" w:rsidRDefault="004526A0">
            <w:pPr>
              <w:widowControl w:val="0"/>
              <w:spacing w:after="0" w:line="360" w:lineRule="auto"/>
            </w:pPr>
            <w:r w:rsidRPr="00495C02">
              <w:rPr>
                <w:rFonts w:ascii="Times New Roman" w:eastAsia="Times New Roman" w:hAnsi="Times New Roman" w:cs="Times New Roman"/>
              </w:rPr>
              <w:t>V</w:t>
            </w:r>
          </w:p>
        </w:tc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4526A0" w:rsidRPr="00495C02" w:rsidRDefault="004526A0">
            <w:pPr>
              <w:widowControl w:val="0"/>
              <w:spacing w:after="0" w:line="360" w:lineRule="auto"/>
            </w:pPr>
            <w:r w:rsidRPr="00495C02">
              <w:rPr>
                <w:rFonts w:ascii="Times New Roman" w:eastAsia="Times New Roman" w:hAnsi="Times New Roman" w:cs="Times New Roman"/>
              </w:rPr>
              <w:t>VI</w:t>
            </w:r>
          </w:p>
        </w:tc>
        <w:tc>
          <w:tcPr>
            <w:tcW w:w="39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4526A0" w:rsidRPr="00495C02" w:rsidRDefault="004526A0">
            <w:pPr>
              <w:widowControl w:val="0"/>
              <w:spacing w:after="0" w:line="360" w:lineRule="auto"/>
            </w:pPr>
            <w:r w:rsidRPr="00495C02">
              <w:rPr>
                <w:rFonts w:ascii="Times New Roman" w:eastAsia="Times New Roman" w:hAnsi="Times New Roman" w:cs="Times New Roman"/>
              </w:rPr>
              <w:t>VI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4526A0" w:rsidRPr="00495C02" w:rsidRDefault="004526A0">
            <w:pPr>
              <w:widowControl w:val="0"/>
              <w:spacing w:after="0" w:line="360" w:lineRule="auto"/>
            </w:pPr>
            <w:r w:rsidRPr="00495C02">
              <w:rPr>
                <w:rFonts w:ascii="Times New Roman" w:eastAsia="Times New Roman" w:hAnsi="Times New Roman" w:cs="Times New Roman"/>
              </w:rPr>
              <w:t>VIII</w:t>
            </w:r>
          </w:p>
        </w:tc>
      </w:tr>
      <w:tr w:rsidR="004526A0" w:rsidTr="00495C02"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Default="004526A0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Default="004526A0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Publiczna Szkoła Podstawowa im. Papieża Jana Pawła II                z Publicznym Przedszkolem      w Młynarzach        ul. Ostrołęcka 24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95C02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95C02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E220FF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E220FF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E220FF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88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E220FF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E220FF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441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E220FF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23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E220FF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441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220FF" w:rsidRPr="00495C02" w:rsidRDefault="00E220FF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394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2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E220FF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2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Pr="00495C02" w:rsidRDefault="00E220FF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4526A0" w:rsidTr="00495C02">
        <w:tc>
          <w:tcPr>
            <w:tcW w:w="32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Default="004526A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Default="004526A0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Default="004526A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26A0" w:rsidRDefault="004526A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Publiczne </w:t>
            </w:r>
          </w:p>
          <w:p w:rsidR="004526A0" w:rsidRDefault="004526A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Gimnazjum im. Papieża Jana Pawła II w Młynarzach,  </w:t>
            </w:r>
          </w:p>
          <w:p w:rsidR="004526A0" w:rsidRDefault="004526A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>ul. Ostrołęcka 24</w:t>
            </w:r>
          </w:p>
          <w:p w:rsidR="004526A0" w:rsidRDefault="004526A0">
            <w:pPr>
              <w:widowControl w:val="0"/>
              <w:spacing w:after="0" w:line="360" w:lineRule="auto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D66C30" w:rsidRPr="00495C02" w:rsidRDefault="00D66C3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do 31.08.2019 r.</w:t>
            </w: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D66C30" w:rsidRPr="00495C02" w:rsidRDefault="00D66C3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66C30" w:rsidRPr="00495C02" w:rsidRDefault="00D66C3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66C30" w:rsidRPr="00495C02" w:rsidRDefault="00D66C30" w:rsidP="00495C0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Pr="00495C02" w:rsidRDefault="004526A0" w:rsidP="00495C0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526A0" w:rsidRPr="00495C02" w:rsidRDefault="004526A0" w:rsidP="00495C0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526A0" w:rsidRPr="00495C02" w:rsidRDefault="004526A0" w:rsidP="00495C02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95C02"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00592B" w:rsidRDefault="00495C02" w:rsidP="00495C02">
      <w:pPr>
        <w:widowControl w:val="0"/>
        <w:tabs>
          <w:tab w:val="left" w:pos="720"/>
        </w:tabs>
        <w:suppressAutoHyphens/>
        <w:spacing w:before="280" w:after="280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  <w:r>
        <w:rPr>
          <w:rFonts w:ascii="Times New Roman" w:eastAsia="Times New Roman" w:hAnsi="Times New Roman" w:cs="Times New Roman"/>
          <w:shd w:val="clear" w:color="auto" w:fill="FFFFFF"/>
        </w:rPr>
        <w:t xml:space="preserve">* </w:t>
      </w:r>
      <w:r w:rsidR="00EE52F3">
        <w:rPr>
          <w:rFonts w:ascii="Times New Roman" w:eastAsia="Times New Roman" w:hAnsi="Times New Roman" w:cs="Times New Roman"/>
          <w:shd w:val="clear" w:color="auto" w:fill="FFFFFF"/>
        </w:rPr>
        <w:t>- wychowanków</w:t>
      </w:r>
    </w:p>
    <w:p w:rsidR="0094726A" w:rsidRDefault="0094726A">
      <w:pPr>
        <w:widowControl w:val="0"/>
        <w:suppressAutoHyphens/>
        <w:spacing w:before="280" w:after="280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00592B" w:rsidRDefault="00EE52F3">
      <w:pPr>
        <w:widowControl w:val="0"/>
        <w:suppressAutoHyphens/>
        <w:spacing w:before="280" w:after="280"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t>Baza do działalności oświatowej</w:t>
      </w:r>
    </w:p>
    <w:p w:rsidR="0000592B" w:rsidRDefault="00EE52F3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shd w:val="clear" w:color="auto" w:fill="FFFFFF"/>
        </w:rPr>
        <w:t>Placówki oświatowe prowadzone przez Gminę Młynarze funkcjonowały w 2 budynkach . Stan bazy lokalowej obrazuje poniższa tabela.</w:t>
      </w:r>
    </w:p>
    <w:p w:rsidR="0000592B" w:rsidRDefault="0000592B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4272E5" w:rsidRDefault="004272E5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4272E5" w:rsidRDefault="004272E5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4272E5" w:rsidRDefault="004272E5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00592B" w:rsidRDefault="0000592B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00592B" w:rsidRDefault="0000592B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00592B" w:rsidRDefault="00EE52F3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b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t>Stan bazy lokalowej oświaty.</w:t>
      </w:r>
    </w:p>
    <w:tbl>
      <w:tblPr>
        <w:tblW w:w="0" w:type="auto"/>
        <w:tblInd w:w="74" w:type="dxa"/>
        <w:tblCellMar>
          <w:left w:w="10" w:type="dxa"/>
          <w:right w:w="10" w:type="dxa"/>
        </w:tblCellMar>
        <w:tblLook w:val="0000"/>
      </w:tblPr>
      <w:tblGrid>
        <w:gridCol w:w="348"/>
        <w:gridCol w:w="1383"/>
        <w:gridCol w:w="1442"/>
        <w:gridCol w:w="1028"/>
        <w:gridCol w:w="841"/>
        <w:gridCol w:w="841"/>
        <w:gridCol w:w="693"/>
        <w:gridCol w:w="767"/>
        <w:gridCol w:w="907"/>
        <w:gridCol w:w="896"/>
      </w:tblGrid>
      <w:tr w:rsidR="0000592B">
        <w:trPr>
          <w:cantSplit/>
          <w:trHeight w:val="1"/>
        </w:trPr>
        <w:tc>
          <w:tcPr>
            <w:tcW w:w="165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Pr="0094726A" w:rsidRDefault="0094726A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Wyszczegól</w:t>
            </w:r>
            <w:r w:rsidR="00EE52F3"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nienie</w:t>
            </w:r>
          </w:p>
        </w:tc>
        <w:tc>
          <w:tcPr>
            <w:tcW w:w="17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Pr="0094726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nieruch.</w:t>
            </w:r>
          </w:p>
          <w:p w:rsidR="0094726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gruntowej </w:t>
            </w:r>
          </w:p>
          <w:p w:rsidR="0000592B" w:rsidRDefault="00EE52F3">
            <w:pPr>
              <w:suppressAutoHyphens/>
              <w:spacing w:after="0" w:line="360" w:lineRule="auto"/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(w m²)</w:t>
            </w:r>
          </w:p>
        </w:tc>
        <w:tc>
          <w:tcPr>
            <w:tcW w:w="10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94726A" w:rsidRPr="0094726A" w:rsidRDefault="00EE52F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 tym: </w:t>
            </w:r>
            <w:proofErr w:type="spellStart"/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</w:t>
            </w:r>
            <w:proofErr w:type="spellEnd"/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. terenów zielonych </w:t>
            </w:r>
          </w:p>
          <w:p w:rsidR="0000592B" w:rsidRPr="0094726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(w m²)</w:t>
            </w:r>
          </w:p>
        </w:tc>
        <w:tc>
          <w:tcPr>
            <w:tcW w:w="541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00592B" w:rsidRPr="0094726A" w:rsidRDefault="00EE52F3" w:rsidP="00715CF1">
            <w:pPr>
              <w:suppressAutoHyphens/>
              <w:spacing w:after="0" w:line="360" w:lineRule="auto"/>
              <w:jc w:val="center"/>
              <w:rPr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Pomieszczenia (ilość)</w:t>
            </w:r>
          </w:p>
        </w:tc>
      </w:tr>
      <w:tr w:rsidR="0000592B">
        <w:trPr>
          <w:trHeight w:val="1"/>
        </w:trPr>
        <w:tc>
          <w:tcPr>
            <w:tcW w:w="165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Pr="0094726A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Pr="0094726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Sale lekcyjne</w:t>
            </w:r>
          </w:p>
        </w:tc>
        <w:tc>
          <w:tcPr>
            <w:tcW w:w="1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Pr="0094726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Pracownie</w:t>
            </w:r>
          </w:p>
        </w:tc>
        <w:tc>
          <w:tcPr>
            <w:tcW w:w="8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Pr="0094726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Sale</w:t>
            </w:r>
            <w:r w:rsidRPr="009472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gimna</w:t>
            </w:r>
            <w:proofErr w:type="spellEnd"/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 styczne</w:t>
            </w:r>
          </w:p>
        </w:tc>
        <w:tc>
          <w:tcPr>
            <w:tcW w:w="1005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Pr="0094726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Świetlice</w:t>
            </w:r>
          </w:p>
        </w:tc>
        <w:tc>
          <w:tcPr>
            <w:tcW w:w="990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Pr="0094726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Stołówki</w:t>
            </w:r>
          </w:p>
        </w:tc>
      </w:tr>
      <w:tr w:rsidR="0000592B">
        <w:tc>
          <w:tcPr>
            <w:tcW w:w="165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94726A" w:rsidRPr="0094726A" w:rsidRDefault="0094726A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Komp</w:t>
            </w:r>
            <w:r w:rsidR="00EE52F3"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</w:t>
            </w:r>
            <w:proofErr w:type="spellEnd"/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</w:p>
          <w:p w:rsidR="0000592B" w:rsidRPr="0094726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terowe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</w:tcPr>
          <w:p w:rsidR="0000592B" w:rsidRPr="0094726A" w:rsidRDefault="00EE52F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94726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Język.</w:t>
            </w:r>
          </w:p>
        </w:tc>
        <w:tc>
          <w:tcPr>
            <w:tcW w:w="8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Pr="0094726A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005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Pr="0094726A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Pr="0094726A" w:rsidRDefault="0000592B">
            <w:pPr>
              <w:spacing w:after="0" w:line="36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  <w:tr w:rsidR="0000592B">
        <w:trPr>
          <w:trHeight w:val="1"/>
        </w:trPr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00592B" w:rsidRDefault="00EE52F3">
            <w:pPr>
              <w:widowControl w:val="0"/>
              <w:spacing w:after="119" w:line="360" w:lineRule="auto"/>
            </w:pPr>
            <w:r>
              <w:rPr>
                <w:rFonts w:ascii="Times New Roman" w:eastAsia="Times New Roman" w:hAnsi="Times New Roman" w:cs="Times New Roman"/>
              </w:rPr>
              <w:t>Publiczna Szkoła Podstawowa im. Papieża Jana Pawła II                   z Publicznym Przedszkolem w Młynarzach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00592B" w:rsidP="004A1E9E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EE52F3" w:rsidP="004A1E9E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4400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00592B" w:rsidP="004A1E9E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EE52F3" w:rsidP="004A1E9E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2000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00592B" w:rsidP="004A1E9E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4473FC" w:rsidP="004473FC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1*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00592B" w:rsidP="004A1E9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00592B"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</w:rPr>
              <w:t>Publiczne Gimnazjum im. Papieża Jana Pawła II w Młynarzach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4400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1000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4473FC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suppressAutoHyphens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00592B">
        <w:trPr>
          <w:trHeight w:val="1"/>
        </w:trPr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00592B" w:rsidRDefault="00EE52F3">
            <w:pPr>
              <w:suppressAutoHyphens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Default="00EE52F3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Razem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8800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3000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  <w:tcMar>
              <w:left w:w="74" w:type="dxa"/>
              <w:right w:w="74" w:type="dxa"/>
            </w:tcMar>
            <w:vAlign w:val="center"/>
          </w:tcPr>
          <w:p w:rsidR="0000592B" w:rsidRDefault="00EE52F3" w:rsidP="004A1E9E">
            <w:pPr>
              <w:widowControl w:val="0"/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</w:tbl>
    <w:p w:rsidR="0000592B" w:rsidRDefault="00EE52F3">
      <w:pPr>
        <w:widowControl w:val="0"/>
        <w:spacing w:before="100" w:after="119"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shd w:val="clear" w:color="auto" w:fill="FFFFFF"/>
        </w:rPr>
        <w:t>* sala komputerowa jest również salą lekcyjną</w:t>
      </w:r>
    </w:p>
    <w:p w:rsidR="004261C1" w:rsidRPr="004261C1" w:rsidRDefault="00EE52F3" w:rsidP="004261C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4261C1">
        <w:rPr>
          <w:rFonts w:ascii="Times New Roman" w:eastAsia="Times New Roman" w:hAnsi="Times New Roman" w:cs="Times New Roman"/>
        </w:rPr>
        <w:t>Nauczyciele</w:t>
      </w:r>
      <w:r w:rsidR="005B5898" w:rsidRPr="004261C1">
        <w:rPr>
          <w:rFonts w:ascii="Times New Roman" w:eastAsia="Times New Roman" w:hAnsi="Times New Roman" w:cs="Times New Roman"/>
        </w:rPr>
        <w:t xml:space="preserve"> zatrudnieni w Publicznej Szkole</w:t>
      </w:r>
      <w:r w:rsidRPr="004261C1">
        <w:rPr>
          <w:rFonts w:ascii="Times New Roman" w:eastAsia="Times New Roman" w:hAnsi="Times New Roman" w:cs="Times New Roman"/>
        </w:rPr>
        <w:t xml:space="preserve"> Podstawowej im. Papieża Jana Pawła II z Publicznym Przedszkolem posiadają odpowiednie kwalifikacje. Większość z nich posiada stopień zawodowy nauczyciela dyplomowanego i posiada przygotowanie do prowadzenia dwóch, trzech przedmiotów. Nauczyciele systematycznie bogacą wiadomości i doskonalą swoje umiejętności. Efektem pogłębiania wiedzy jest bogacenie warsztatu pracy, zdobywanie przez nauczycieli kolejnych stopni awansu zawodowego oraz podnoszenie jakości pracy placówki. Nauczyciele przygotowują uczniów do udziału w konkursach, w których odnoszą znaczące sukcesy, zarówno artystyczne, jak </w:t>
      </w:r>
      <w:r w:rsidR="00EC15CB" w:rsidRPr="004261C1">
        <w:rPr>
          <w:rFonts w:ascii="Times New Roman" w:eastAsia="Times New Roman" w:hAnsi="Times New Roman" w:cs="Times New Roman"/>
        </w:rPr>
        <w:t xml:space="preserve">i sportowe. </w:t>
      </w:r>
      <w:r w:rsidR="004261C1" w:rsidRPr="004261C1">
        <w:rPr>
          <w:rFonts w:ascii="Times New Roman" w:eastAsia="Times New Roman" w:hAnsi="Times New Roman" w:cs="Times New Roman"/>
          <w:color w:val="000000" w:themeColor="text1"/>
        </w:rPr>
        <w:t>W roku szkolnym 2019/2020 nasza szkoła przystąpiła do realizacji trzech projektów współfinansowanych ze środków Unii Europejskiej. Są to:</w:t>
      </w:r>
    </w:p>
    <w:p w:rsidR="004261C1" w:rsidRPr="004261C1" w:rsidRDefault="004261C1" w:rsidP="004261C1">
      <w:pPr>
        <w:pStyle w:val="NormalnyWeb"/>
        <w:numPr>
          <w:ilvl w:val="0"/>
          <w:numId w:val="41"/>
        </w:numPr>
        <w:spacing w:before="0" w:beforeAutospacing="0" w:after="0" w:afterAutospacing="0" w:line="360" w:lineRule="auto"/>
        <w:jc w:val="both"/>
        <w:rPr>
          <w:color w:val="000000" w:themeColor="text1"/>
          <w:sz w:val="22"/>
          <w:szCs w:val="22"/>
        </w:rPr>
      </w:pPr>
      <w:r w:rsidRPr="004261C1">
        <w:rPr>
          <w:b/>
          <w:color w:val="000000" w:themeColor="text1"/>
          <w:sz w:val="22"/>
          <w:szCs w:val="22"/>
        </w:rPr>
        <w:t>Projekt pn. „Inwestujemy w naszą przyszłość”</w:t>
      </w:r>
      <w:r w:rsidRPr="004261C1">
        <w:rPr>
          <w:color w:val="000000" w:themeColor="text1"/>
          <w:sz w:val="22"/>
          <w:szCs w:val="22"/>
        </w:rPr>
        <w:t xml:space="preserve">, którego głównym celem jest podniesienie poziomu kompetencji kluczowych (językowych, matematyczno-przyrodniczych, TIK) oraz postaw i umiejętności niezbędnych na rynku pracy uczniów Publicznej Szkoły Podstawowej </w:t>
      </w:r>
      <w:r w:rsidRPr="004261C1">
        <w:rPr>
          <w:color w:val="000000" w:themeColor="text1"/>
          <w:sz w:val="22"/>
          <w:szCs w:val="22"/>
        </w:rPr>
        <w:lastRenderedPageBreak/>
        <w:t>im. Papieża Jana Pawła II w Młynarzach oraz podniesienie poziomu kompetencji nauczycieli w zakresie: metod i form sprzyjających kształtowaniu i rozwijaniu u uczniów kompetencji kluczowych, stosowania metody eksperymentu w dydaktyce, wykorzystania TIK w dydaktyce, prowadzenia procesu indywidualizacji pracy z uczniem ze SPE, korzystania z e-podręczników w procesie dydaktycznym. Projekt obejmie realizację następujących zadań: doposażenie sal lekcyjnych w sprzęt i pomoce dydaktyczne, szkolenia dla nauczycieli, organizacja zajęć dodatkowych dla uczniów, wyjazdy edukacyjne, wsparcie uczniów ze SPE.</w:t>
      </w:r>
    </w:p>
    <w:p w:rsidR="004261C1" w:rsidRPr="004261C1" w:rsidRDefault="004261C1" w:rsidP="004261C1">
      <w:pPr>
        <w:pStyle w:val="NormalnyWeb"/>
        <w:numPr>
          <w:ilvl w:val="0"/>
          <w:numId w:val="41"/>
        </w:numPr>
        <w:spacing w:before="0" w:beforeAutospacing="0" w:after="0" w:afterAutospacing="0" w:line="360" w:lineRule="auto"/>
        <w:jc w:val="both"/>
        <w:rPr>
          <w:color w:val="000000" w:themeColor="text1"/>
          <w:sz w:val="22"/>
          <w:szCs w:val="22"/>
        </w:rPr>
      </w:pPr>
      <w:r w:rsidRPr="004261C1">
        <w:rPr>
          <w:b/>
          <w:color w:val="000000" w:themeColor="text1"/>
          <w:sz w:val="22"/>
          <w:szCs w:val="22"/>
        </w:rPr>
        <w:t>Projekt pn. „Mazowiecka Akademia Rozwoju Kompetencji Pracowników Instytucji Wspomagania"</w:t>
      </w:r>
      <w:r w:rsidRPr="004261C1">
        <w:rPr>
          <w:color w:val="000000" w:themeColor="text1"/>
          <w:sz w:val="22"/>
          <w:szCs w:val="22"/>
        </w:rPr>
        <w:t>, którego celem jest poprawa funkcjonowania wspomagania szkół na terenie województwa mazowieckiego w obszarach decydujących o przygotowaniu uczniów do funkcjonowania w życiu zawodowym i społecznym. W ramach Projektu MARKPIW realizowane będą zadania: doskonalenie pracowników instytucji wspomagania i trenerów indywidualnych z nimi współpracujących, przeprowadzenie procesu wspomagania szkoły, doradztwo indywidualne i sieci tematyczne dla uczestników szkoleń.</w:t>
      </w:r>
    </w:p>
    <w:p w:rsidR="004261C1" w:rsidRPr="004261C1" w:rsidRDefault="004261C1" w:rsidP="004261C1">
      <w:pPr>
        <w:pStyle w:val="NormalnyWeb"/>
        <w:numPr>
          <w:ilvl w:val="0"/>
          <w:numId w:val="41"/>
        </w:numPr>
        <w:spacing w:before="0" w:beforeAutospacing="0" w:after="0" w:afterAutospacing="0" w:line="360" w:lineRule="auto"/>
        <w:jc w:val="both"/>
        <w:rPr>
          <w:color w:val="000000" w:themeColor="text1"/>
          <w:sz w:val="22"/>
          <w:szCs w:val="22"/>
        </w:rPr>
      </w:pPr>
      <w:r w:rsidRPr="004261C1">
        <w:rPr>
          <w:b/>
          <w:color w:val="000000" w:themeColor="text1"/>
          <w:sz w:val="22"/>
          <w:szCs w:val="22"/>
        </w:rPr>
        <w:t>Projekt pn. „Misja programowanie – podregion ostrołęcki”</w:t>
      </w:r>
      <w:r w:rsidRPr="004261C1">
        <w:rPr>
          <w:color w:val="000000" w:themeColor="text1"/>
          <w:sz w:val="22"/>
          <w:szCs w:val="22"/>
        </w:rPr>
        <w:t>, którego głównym celem jest przygotowanie nauczycieli uczących w klasach I- III do samodzielnego prowadzenia zajęć z programowania w ramach nauczania zintegrowanego oraz upowszechnianie wczesnej nauki programowania.</w:t>
      </w:r>
    </w:p>
    <w:p w:rsidR="0000592B" w:rsidRDefault="004261C1" w:rsidP="004261C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4261C1">
        <w:rPr>
          <w:rFonts w:ascii="Times New Roman" w:eastAsia="Times New Roman" w:hAnsi="Times New Roman" w:cs="Times New Roman"/>
          <w:color w:val="000000" w:themeColor="text1"/>
        </w:rPr>
        <w:t xml:space="preserve">W placówce prowadzone są także zajęcia pozalekcyjne rozwijające zainteresowania dzieci </w:t>
      </w:r>
      <w:r w:rsidRPr="004261C1">
        <w:rPr>
          <w:rFonts w:ascii="Times New Roman" w:eastAsia="Times New Roman" w:hAnsi="Times New Roman" w:cs="Times New Roman"/>
          <w:color w:val="000000" w:themeColor="text1"/>
        </w:rPr>
        <w:br/>
        <w:t xml:space="preserve">i uczniów. W 2019 r. prowadzone były zajęcia chóru i zajęcia sportowe. W ramach realizowanego projektu pn. „Inwestujemy w naszą przyszłość” uruchomiono dla uczniów zajęcia doskonalące z matematyki, informatyki, języka angielskiego, przyrody – „Laboratorium przyrodnicze” oraz wyrównawcze z matematyki, języka angielskiego i niemieckiego, chemii i fizyki. Dla uczniów ze SPE zorganizowano zajęcia logopedyczne, rewalidacyjne, korekcyjno-kompensacyjne oraz </w:t>
      </w:r>
      <w:proofErr w:type="spellStart"/>
      <w:r w:rsidRPr="004261C1">
        <w:rPr>
          <w:rFonts w:ascii="Times New Roman" w:eastAsia="Times New Roman" w:hAnsi="Times New Roman" w:cs="Times New Roman"/>
          <w:color w:val="000000" w:themeColor="text1"/>
        </w:rPr>
        <w:t>psychoedukacyjne</w:t>
      </w:r>
      <w:proofErr w:type="spellEnd"/>
      <w:r w:rsidRPr="004261C1">
        <w:rPr>
          <w:rFonts w:ascii="Times New Roman" w:eastAsia="Times New Roman" w:hAnsi="Times New Roman" w:cs="Times New Roman"/>
          <w:color w:val="000000" w:themeColor="text1"/>
        </w:rPr>
        <w:t>. W szkole działa także klub czytelniczy „</w:t>
      </w:r>
      <w:proofErr w:type="spellStart"/>
      <w:r w:rsidRPr="004261C1">
        <w:rPr>
          <w:rFonts w:ascii="Times New Roman" w:eastAsia="Times New Roman" w:hAnsi="Times New Roman" w:cs="Times New Roman"/>
          <w:color w:val="000000" w:themeColor="text1"/>
        </w:rPr>
        <w:t>Zaksiążkowane</w:t>
      </w:r>
      <w:proofErr w:type="spellEnd"/>
      <w:r w:rsidRPr="004261C1">
        <w:rPr>
          <w:rFonts w:ascii="Times New Roman" w:eastAsia="Times New Roman" w:hAnsi="Times New Roman" w:cs="Times New Roman"/>
          <w:color w:val="000000" w:themeColor="text1"/>
        </w:rPr>
        <w:t xml:space="preserve"> Mole”. Placówka umożliwia</w:t>
      </w:r>
      <w:r w:rsidR="008D41B5">
        <w:rPr>
          <w:rFonts w:ascii="Times New Roman" w:eastAsia="Times New Roman" w:hAnsi="Times New Roman" w:cs="Times New Roman"/>
          <w:color w:val="000000" w:themeColor="text1"/>
        </w:rPr>
        <w:t xml:space="preserve">  także uczniom  możliwość uczestniczenia</w:t>
      </w:r>
      <w:r w:rsidRPr="004261C1">
        <w:rPr>
          <w:rFonts w:ascii="Times New Roman" w:eastAsia="Times New Roman" w:hAnsi="Times New Roman" w:cs="Times New Roman"/>
          <w:color w:val="000000" w:themeColor="text1"/>
        </w:rPr>
        <w:t xml:space="preserve"> w różnego rodzaju warsztatach. W 2019 r. zorganizowano dla uczniów cykl warsztatów profilaktycznych, czy z kreatywności. Uczniowie szkoły aktywnie działają w samorządzie uczniowskim i szkolnym klubie wolontariatu, angażują się w akcje społeczne i charytatywne (2019 r.: WOŚP, zbiórka żywności dla schroniska). </w:t>
      </w:r>
    </w:p>
    <w:p w:rsidR="008D41B5" w:rsidRDefault="008D41B5" w:rsidP="004261C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8D41B5" w:rsidRDefault="008D41B5" w:rsidP="004261C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u w:val="single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BIBLIOTEKA</w:t>
      </w:r>
      <w:r>
        <w:rPr>
          <w:rFonts w:ascii="Times New Roman" w:eastAsia="Times New Roman" w:hAnsi="Times New Roman" w:cs="Times New Roman"/>
          <w:b/>
          <w:i/>
          <w:sz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 xml:space="preserve"> j</w:t>
      </w:r>
      <w:r>
        <w:rPr>
          <w:rFonts w:ascii="Times New Roman" w:eastAsia="Times New Roman" w:hAnsi="Times New Roman" w:cs="Times New Roman"/>
        </w:rPr>
        <w:t xml:space="preserve">est samorządową instytucją kultury, wpisaną  do gminnego rejestru instytucji kultury. Prowadzi działalność na podstawie ustawy </w:t>
      </w:r>
      <w:r w:rsidR="006527FE">
        <w:rPr>
          <w:rFonts w:ascii="Times New Roman" w:eastAsia="Times New Roman" w:hAnsi="Times New Roman" w:cs="Times New Roman"/>
        </w:rPr>
        <w:t xml:space="preserve">z dnia 25 października 1991 r. </w:t>
      </w:r>
      <w:r>
        <w:rPr>
          <w:rFonts w:ascii="Times New Roman" w:eastAsia="Times New Roman" w:hAnsi="Times New Roman" w:cs="Times New Roman"/>
        </w:rPr>
        <w:t xml:space="preserve">o organizowaniu i prowadzeniu działalności kulturalnej. </w:t>
      </w:r>
    </w:p>
    <w:p w:rsidR="008D41B5" w:rsidRPr="008D41B5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Biblioteka w 201</w:t>
      </w:r>
      <w:r w:rsidR="0099628C">
        <w:rPr>
          <w:rFonts w:ascii="Times New Roman" w:eastAsia="Times New Roman" w:hAnsi="Times New Roman" w:cs="Times New Roman"/>
        </w:rPr>
        <w:t>9</w:t>
      </w:r>
      <w:r w:rsidR="006527FE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527FE">
        <w:rPr>
          <w:rFonts w:ascii="Times New Roman" w:eastAsia="Times New Roman" w:hAnsi="Times New Roman" w:cs="Times New Roman"/>
        </w:rPr>
        <w:t>r.</w:t>
      </w:r>
      <w:r>
        <w:rPr>
          <w:rFonts w:ascii="Times New Roman" w:eastAsia="Times New Roman" w:hAnsi="Times New Roman" w:cs="Times New Roman"/>
        </w:rPr>
        <w:t>udostępniała</w:t>
      </w:r>
      <w:proofErr w:type="spellEnd"/>
      <w:r>
        <w:rPr>
          <w:rFonts w:ascii="Times New Roman" w:eastAsia="Times New Roman" w:hAnsi="Times New Roman" w:cs="Times New Roman"/>
        </w:rPr>
        <w:t xml:space="preserve"> zbiory biblioteczne do domu ( na zewnątrz ) i na miejscu (prezencyjnie).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bCs/>
          <w:lang w:bidi="pl-PL"/>
        </w:rPr>
        <w:lastRenderedPageBreak/>
        <w:t>Ogółem przybyło 488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woluminów</w:t>
      </w:r>
      <w:r w:rsidRPr="0099628C">
        <w:rPr>
          <w:rFonts w:ascii="Times New Roman" w:eastAsia="Times New Roman" w:hAnsi="Times New Roman" w:cs="Times New Roman"/>
          <w:bCs/>
          <w:lang w:bidi="pl-PL"/>
        </w:rPr>
        <w:t xml:space="preserve"> 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za kwotę </w:t>
      </w:r>
      <w:r w:rsidRPr="0099628C">
        <w:rPr>
          <w:rFonts w:ascii="Times New Roman" w:eastAsia="Times New Roman" w:hAnsi="Times New Roman" w:cs="Times New Roman"/>
          <w:bCs/>
          <w:lang w:bidi="pl-PL"/>
        </w:rPr>
        <w:t xml:space="preserve"> 10.361,78 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złotych w tym:                   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-   zakupione ze środków  budżetowych biblioteki                    291 wol. za kwotę    6.086,78</w:t>
      </w:r>
    </w:p>
    <w:p w:rsidR="0099628C" w:rsidRPr="0099628C" w:rsidRDefault="0099628C" w:rsidP="0099628C">
      <w:pPr>
        <w:numPr>
          <w:ilvl w:val="0"/>
          <w:numId w:val="43"/>
        </w:num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zakupione z dotacji </w:t>
      </w:r>
      <w:proofErr w:type="spellStart"/>
      <w:r w:rsidRPr="0099628C">
        <w:rPr>
          <w:rFonts w:ascii="Times New Roman" w:eastAsia="Times New Roman" w:hAnsi="Times New Roman" w:cs="Times New Roman"/>
          <w:lang w:bidi="pl-PL"/>
        </w:rPr>
        <w:t>MKiDz.N</w:t>
      </w:r>
      <w:proofErr w:type="spellEnd"/>
      <w:r w:rsidRPr="0099628C">
        <w:rPr>
          <w:rFonts w:ascii="Times New Roman" w:eastAsia="Times New Roman" w:hAnsi="Times New Roman" w:cs="Times New Roman"/>
          <w:lang w:bidi="pl-PL"/>
        </w:rPr>
        <w:t xml:space="preserve">              </w:t>
      </w:r>
      <w:r w:rsidR="006527FE">
        <w:rPr>
          <w:rFonts w:ascii="Times New Roman" w:eastAsia="Times New Roman" w:hAnsi="Times New Roman" w:cs="Times New Roman"/>
          <w:lang w:bidi="pl-PL"/>
        </w:rPr>
        <w:t xml:space="preserve">                         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189 wol. za kwotę    4.000,00  </w:t>
      </w:r>
    </w:p>
    <w:p w:rsidR="0099628C" w:rsidRPr="006527FE" w:rsidRDefault="0099628C" w:rsidP="0099628C">
      <w:pPr>
        <w:numPr>
          <w:ilvl w:val="0"/>
          <w:numId w:val="42"/>
        </w:num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dary                                                          </w:t>
      </w:r>
      <w:r w:rsidR="006527FE">
        <w:rPr>
          <w:rFonts w:ascii="Times New Roman" w:eastAsia="Times New Roman" w:hAnsi="Times New Roman" w:cs="Times New Roman"/>
          <w:lang w:bidi="pl-PL"/>
        </w:rPr>
        <w:t xml:space="preserve">                           8 wol.  za kwotę        275,00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Struktura wpływów książek: ogółem</w:t>
      </w:r>
      <w:r w:rsidRPr="0099628C">
        <w:rPr>
          <w:rFonts w:ascii="Times New Roman" w:eastAsia="Times New Roman" w:hAnsi="Times New Roman" w:cs="Times New Roman"/>
          <w:bCs/>
          <w:lang w:bidi="pl-PL"/>
        </w:rPr>
        <w:t xml:space="preserve">  488 woluminów. </w:t>
      </w:r>
      <w:r w:rsidRPr="0099628C">
        <w:rPr>
          <w:rFonts w:ascii="Times New Roman" w:eastAsia="Times New Roman" w:hAnsi="Times New Roman" w:cs="Times New Roman"/>
          <w:lang w:bidi="pl-PL"/>
        </w:rPr>
        <w:t>w tym: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215 wol. literatury pięknej dla dorosłych,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221 wol.. literatury pięknej dla dzieci i młodzieży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  52 wol.  literatury niebeletrystycznej w tym 17 wol.  dla dzieci i młodzieży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Na 100 mieszkańców zakupiono  ponad 27 nowych książek.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</w:t>
      </w:r>
    </w:p>
    <w:p w:rsidR="0099628C" w:rsidRPr="0099628C" w:rsidRDefault="006527FE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>
        <w:rPr>
          <w:rFonts w:ascii="Times New Roman" w:eastAsia="Times New Roman" w:hAnsi="Times New Roman" w:cs="Times New Roman"/>
          <w:lang w:bidi="pl-PL"/>
        </w:rPr>
        <w:t xml:space="preserve"> W</w:t>
      </w:r>
      <w:r w:rsidR="0099628C" w:rsidRPr="0099628C">
        <w:rPr>
          <w:rFonts w:ascii="Times New Roman" w:eastAsia="Times New Roman" w:hAnsi="Times New Roman" w:cs="Times New Roman"/>
          <w:lang w:bidi="pl-PL"/>
        </w:rPr>
        <w:t xml:space="preserve"> 2019 r. ze zbiorów biblioteczny</w:t>
      </w:r>
      <w:r>
        <w:rPr>
          <w:rFonts w:ascii="Times New Roman" w:eastAsia="Times New Roman" w:hAnsi="Times New Roman" w:cs="Times New Roman"/>
          <w:lang w:bidi="pl-PL"/>
        </w:rPr>
        <w:t xml:space="preserve">ch usunięto ogółem </w:t>
      </w:r>
      <w:r w:rsidR="0099628C" w:rsidRPr="0099628C">
        <w:rPr>
          <w:rFonts w:ascii="Times New Roman" w:eastAsia="Times New Roman" w:hAnsi="Times New Roman" w:cs="Times New Roman"/>
          <w:bCs/>
          <w:lang w:bidi="pl-PL"/>
        </w:rPr>
        <w:t>418 książek na</w:t>
      </w:r>
      <w:r w:rsidR="0099628C" w:rsidRPr="0099628C">
        <w:rPr>
          <w:rFonts w:ascii="Times New Roman" w:eastAsia="Times New Roman" w:hAnsi="Times New Roman" w:cs="Times New Roman"/>
          <w:lang w:bidi="pl-PL"/>
        </w:rPr>
        <w:t xml:space="preserve"> kwotę 384,84 zł 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Były to egzemplarze zniszczone w wyniku częstego wypożyczania oraz nieaktualne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pod względem treści zwłaszcza książki z literatury niebeletrystycznej.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Selekcję zbiorów przeprowadzono zgodnie z wytycznymi  Dział</w:t>
      </w:r>
      <w:r w:rsidR="006527FE">
        <w:rPr>
          <w:rFonts w:ascii="Times New Roman" w:eastAsia="Times New Roman" w:hAnsi="Times New Roman" w:cs="Times New Roman"/>
          <w:lang w:bidi="pl-PL"/>
        </w:rPr>
        <w:t xml:space="preserve">u Wojewódzkiej Sieci Bibliotek 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oraz instruktora powiatowego ds. bibliotek.    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Struktura</w:t>
      </w:r>
      <w:r w:rsidRPr="0099628C">
        <w:rPr>
          <w:rFonts w:ascii="Times New Roman" w:eastAsia="Times New Roman" w:hAnsi="Times New Roman" w:cs="Times New Roman"/>
          <w:bCs/>
          <w:lang w:bidi="pl-PL"/>
        </w:rPr>
        <w:t xml:space="preserve">  </w:t>
      </w:r>
      <w:r w:rsidRPr="0099628C">
        <w:rPr>
          <w:rFonts w:ascii="Times New Roman" w:eastAsia="Times New Roman" w:hAnsi="Times New Roman" w:cs="Times New Roman"/>
          <w:lang w:bidi="pl-PL"/>
        </w:rPr>
        <w:t>ubytków książek była następująca :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    97 wol. lit. pięknej dla dorosłych,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    56 wol. lit. Pięknej dla dzieci i młodzieży,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  265 wol. lit. niebeletrystycznej.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Ogółem stan zbiorów na dzień 31 grudnia 2019 r. wynosił  13811</w:t>
      </w:r>
      <w:r w:rsidRPr="0099628C">
        <w:rPr>
          <w:rFonts w:ascii="Times New Roman" w:eastAsia="Times New Roman" w:hAnsi="Times New Roman" w:cs="Times New Roman"/>
          <w:bCs/>
          <w:lang w:bidi="pl-PL"/>
        </w:rPr>
        <w:t xml:space="preserve"> książek oraz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bCs/>
          <w:lang w:bidi="pl-PL"/>
        </w:rPr>
        <w:t xml:space="preserve">681 jednostek inwentarzowych zbiorów audiowizualnych ( </w:t>
      </w:r>
      <w:r w:rsidRPr="0099628C">
        <w:rPr>
          <w:rFonts w:ascii="Times New Roman" w:eastAsia="Times New Roman" w:hAnsi="Times New Roman" w:cs="Times New Roman"/>
          <w:lang w:bidi="pl-PL"/>
        </w:rPr>
        <w:t>kaset magnetofonowych,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płyt gramofonowych, płyt CD, DVD, kaset Video).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Prenumerowano  </w:t>
      </w:r>
      <w:r w:rsidRPr="0099628C">
        <w:rPr>
          <w:rFonts w:ascii="Times New Roman" w:eastAsia="Times New Roman" w:hAnsi="Times New Roman" w:cs="Times New Roman"/>
          <w:bCs/>
          <w:lang w:bidi="pl-PL"/>
        </w:rPr>
        <w:t xml:space="preserve">7 </w:t>
      </w:r>
      <w:r w:rsidRPr="0099628C">
        <w:rPr>
          <w:rFonts w:ascii="Times New Roman" w:eastAsia="Times New Roman" w:hAnsi="Times New Roman" w:cs="Times New Roman"/>
          <w:lang w:bidi="pl-PL"/>
        </w:rPr>
        <w:t>tytułów czasopism: Gazeta Polska ,Tygodnik Ostrołęcki, Tygodnik Makowski,  Kumpel, Świerszczyk , Przyjaciółka, Tygodnik Poradnik Rolniczy.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Urząd Marszałkowski przekazywał  nieodpłatnie </w:t>
      </w:r>
      <w:r w:rsidRPr="0099628C">
        <w:rPr>
          <w:rFonts w:ascii="Times New Roman" w:eastAsia="Times New Roman" w:hAnsi="Times New Roman" w:cs="Times New Roman"/>
          <w:bCs/>
          <w:lang w:bidi="pl-PL"/>
        </w:rPr>
        <w:t>2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egz. miesięczników -</w:t>
      </w:r>
      <w:r w:rsidR="006527FE">
        <w:rPr>
          <w:rFonts w:ascii="Times New Roman" w:eastAsia="Times New Roman" w:hAnsi="Times New Roman" w:cs="Times New Roman"/>
          <w:lang w:bidi="pl-PL"/>
        </w:rPr>
        <w:t xml:space="preserve"> Z Serca Polski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i Wieś Mazowiecka.                                                                                                                                                                           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lang w:bidi="pl-PL"/>
        </w:rPr>
      </w:pP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lang w:bidi="pl-PL"/>
        </w:rPr>
      </w:pPr>
    </w:p>
    <w:p w:rsidR="0099628C" w:rsidRPr="0099628C" w:rsidRDefault="0099628C" w:rsidP="00350D65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Biblioteka gromadziła i opracowywała wycinki z lokalnej prasy na temat naszej Gminy,  oraz broszury i inne materiały informacyjne przydatne</w:t>
      </w:r>
      <w:r w:rsidR="00350D65">
        <w:rPr>
          <w:rFonts w:ascii="Times New Roman" w:eastAsia="Times New Roman" w:hAnsi="Times New Roman" w:cs="Times New Roman"/>
          <w:lang w:bidi="pl-PL"/>
        </w:rPr>
        <w:t xml:space="preserve"> w bibliotece. Opracowywano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  i gromadzono również fotografie z życia naszej Gminy. (na noś</w:t>
      </w:r>
      <w:r w:rsidR="00350D65">
        <w:rPr>
          <w:rFonts w:ascii="Times New Roman" w:eastAsia="Times New Roman" w:hAnsi="Times New Roman" w:cs="Times New Roman"/>
          <w:lang w:bidi="pl-PL"/>
        </w:rPr>
        <w:t>nikach elektronicznych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   i w formie tradycyjnej).     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lastRenderedPageBreak/>
        <w:t xml:space="preserve">W związku z udostępnianiem zbiorów zanotowano ogółem </w:t>
      </w:r>
      <w:r w:rsidRPr="0099628C">
        <w:rPr>
          <w:rFonts w:ascii="Times New Roman" w:eastAsia="Times New Roman" w:hAnsi="Times New Roman" w:cs="Times New Roman"/>
          <w:bCs/>
          <w:lang w:bidi="pl-PL"/>
        </w:rPr>
        <w:t xml:space="preserve">2302 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odwiedzin w tym: </w:t>
      </w:r>
      <w:r w:rsidRPr="0099628C">
        <w:rPr>
          <w:rFonts w:ascii="Times New Roman" w:eastAsia="Times New Roman" w:hAnsi="Times New Roman" w:cs="Times New Roman"/>
          <w:bCs/>
          <w:lang w:bidi="pl-PL"/>
        </w:rPr>
        <w:t xml:space="preserve">1414     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w związku z udostępnianiem do domu i </w:t>
      </w:r>
      <w:r w:rsidRPr="0099628C">
        <w:rPr>
          <w:rFonts w:ascii="Times New Roman" w:eastAsia="Times New Roman" w:hAnsi="Times New Roman" w:cs="Times New Roman"/>
          <w:bCs/>
          <w:lang w:bidi="pl-PL"/>
        </w:rPr>
        <w:t>888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odwiedzin korzystających ze zbiorów na miejscu w bibliotece.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Zbiory opracowywano  zgodnie z obowiązującym</w:t>
      </w:r>
      <w:r w:rsidR="006527FE">
        <w:rPr>
          <w:rFonts w:ascii="Times New Roman" w:eastAsia="Times New Roman" w:hAnsi="Times New Roman" w:cs="Times New Roman"/>
          <w:lang w:bidi="pl-PL"/>
        </w:rPr>
        <w:t xml:space="preserve">i normami bibliotecznymi 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i rozporządzeniami Ministra Kultury i Dziedzictwa Narodowego, zaleceniami instruktorów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Wojewódzkiej Sieci Biblioteki i instruktora powiatowego ds. bibliotek.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Książki okładano w folię, wszystkie nowości opracowywano na bieżąco. Zakupu  książek dokonywano samodzielnie, uwzględniając bieżące oraz potencjalne potrzeby środowiska. Wybierano najtańsze oferty sprzedaży. Średnia cena zakupionej książki wynosiła  </w:t>
      </w:r>
      <w:r w:rsidRPr="0099628C">
        <w:rPr>
          <w:rFonts w:ascii="Times New Roman" w:eastAsia="Times New Roman" w:hAnsi="Times New Roman" w:cs="Times New Roman"/>
          <w:bCs/>
          <w:lang w:bidi="pl-PL"/>
        </w:rPr>
        <w:t>21,01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zł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Wszystkie książki znakowano w dwóch miejscach naklejkami z kodem kreskowym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W tym zakresie pracowano w bibliotecznym programie MAK+,  z którego biblioteka korzystała na podstawie zawartej umowy o udzielenie licencji z Instytutem Książki                           z siedzibą w Krakowie.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Ww. prace  były związane z uruchomieniem wypożyczania komputerowego z początkiem 2020 roku.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W zakresie tworzenia bibliotecznej bazy książek, wprowadzonych jest </w:t>
      </w:r>
      <w:r w:rsidRPr="0099628C">
        <w:rPr>
          <w:rFonts w:ascii="Times New Roman" w:eastAsia="Times New Roman" w:hAnsi="Times New Roman" w:cs="Times New Roman"/>
          <w:bCs/>
          <w:lang w:bidi="pl-PL"/>
        </w:rPr>
        <w:t>99 %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ogólnej liczby księgozbioru. Na stronie www biblioteki (1300 wejść) dostępny był katalog online,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w którym prezentowano listę nowości bibliotecznych. Czytelnicy mieli możliwość zapoznania się z profilem  zbiorów bibliotecznych ( 51 wejść do katalogu).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lang w:bidi="pl-PL"/>
        </w:rPr>
      </w:pP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lang w:bidi="pl-PL"/>
        </w:rPr>
      </w:pPr>
      <w:r w:rsidRPr="0099628C">
        <w:rPr>
          <w:rFonts w:ascii="Times New Roman" w:eastAsia="Times New Roman" w:hAnsi="Times New Roman" w:cs="Times New Roman"/>
          <w:b/>
          <w:bCs/>
          <w:lang w:bidi="pl-PL"/>
        </w:rPr>
        <w:t>CZYTELNICTWO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lang w:bidi="pl-PL"/>
        </w:rPr>
      </w:pP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Zbiory opracowywano  zgodnie z obowiązującymi normami bibliotecznymi   i rozporządzeniami Ministra Kultury i Dziedzictwa Narodowego, zaleceniami instruktorów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Wojewódzkiej Sieci Biblioteki i instruktora powiatowego ds. bibliotek.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Książki okładano w folię, wszystkie nowości opracowywano na bieżąco. Zakupu  książek dokonywano samodzielnie, uwzględniając bieżące oraz potencjalne potrzeby środowiska. Wybierano najtańsze oferty sprzedaży. Średnia cena zakupionej książki wynosiła  21,40 złotych.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Wszystkie książki są opatrzone, w dwóch miejscach, naklejką z kodem kreskowym..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tym zakresie pracowano w bibliotecznym programie MAK+ , z którego biblioteka korzystała na podstawie zawartej umowy o udzielenie licencji z Instytutem Książki   z siedzibą w Krakowie.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Ww. prace związane były z planem  uruchomienia wypożyczania komputerowego w 2019 roku.  </w:t>
      </w:r>
    </w:p>
    <w:p w:rsidR="0000592B" w:rsidRDefault="00EE52F3">
      <w:pPr>
        <w:tabs>
          <w:tab w:val="left" w:pos="3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Analizując strukturę czytelników według wieku i zawodu stwierdzono, że dzieci   i młodzież ucząca się w szkole podstawowej, gimnazjum, szkołach średnich  i pomaturalnych   ( w systemie stacjonarnym ) stanowiła najliczniejszą grupę czytelniczą ok. 56 % ogółu czytelników</w:t>
      </w:r>
      <w:r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</w:rPr>
        <w:t xml:space="preserve">        </w:t>
      </w:r>
    </w:p>
    <w:p w:rsidR="00CD57D0" w:rsidRDefault="00EE52F3">
      <w:pPr>
        <w:tabs>
          <w:tab w:val="left" w:pos="3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</w:t>
      </w:r>
    </w:p>
    <w:p w:rsidR="0000592B" w:rsidRDefault="00EE52F3">
      <w:pPr>
        <w:tabs>
          <w:tab w:val="left" w:pos="360"/>
        </w:tabs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</w:rPr>
        <w:t xml:space="preserve">Struktura udostępniania książek </w:t>
      </w:r>
      <w:r>
        <w:rPr>
          <w:rFonts w:ascii="Times New Roman" w:eastAsia="Times New Roman" w:hAnsi="Times New Roman" w:cs="Times New Roman"/>
        </w:rPr>
        <w:t xml:space="preserve">była następująca: ogółem </w:t>
      </w:r>
      <w:r>
        <w:rPr>
          <w:rFonts w:ascii="Times New Roman" w:eastAsia="Times New Roman" w:hAnsi="Times New Roman" w:cs="Times New Roman"/>
          <w:b/>
        </w:rPr>
        <w:t>2165 wol. w tym:</w:t>
      </w:r>
      <w:r>
        <w:rPr>
          <w:rFonts w:ascii="Times New Roman" w:eastAsia="Times New Roman" w:hAnsi="Times New Roman" w:cs="Times New Roman"/>
        </w:rPr>
        <w:t xml:space="preserve">               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lit. piękna dla dzieci i młodzieży                        1075 wol.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lit. piękna dla dorosłych                                       871 wol.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lit. niebeletrystyczna                                             219 wol.                                                                                                                                                              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Oprócz książek udostępniano ogółem: 221czasopism oraz 6 zbiorów audiowizualnych.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Zainteresowania i potrzeby czytelnicze były różnorodne. Młodzież ucząca się w systemie dziennym wypożyczała głównie obowiązkowe lektury z języka polskiego, ich opracowania,  literaturę niebeletrystyczną uzupełniającą wiadomości z innych przedmiotów szkolnych.  Wśród dorosłych dużym zainteresowaniem cieszyły się bestsellery z literatury kobiecej,  oraz literatura faktu, a także </w:t>
      </w:r>
      <w:proofErr w:type="spellStart"/>
      <w:r>
        <w:rPr>
          <w:rFonts w:ascii="Times New Roman" w:eastAsia="Times New Roman" w:hAnsi="Times New Roman" w:cs="Times New Roman"/>
        </w:rPr>
        <w:t>ksiązki</w:t>
      </w:r>
      <w:proofErr w:type="spellEnd"/>
      <w:r>
        <w:rPr>
          <w:rFonts w:ascii="Times New Roman" w:eastAsia="Times New Roman" w:hAnsi="Times New Roman" w:cs="Times New Roman"/>
        </w:rPr>
        <w:t xml:space="preserve"> z najnowszej historii. Czytelnicy uczący się zaocznie poszukiwali najnowszych wydań, podręczników akademickich, informacji na konkretne tematy.</w:t>
      </w:r>
    </w:p>
    <w:p w:rsidR="0000592B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Prowadzono następujące formy pracy upowszechniające książkę i bibliotekę:</w:t>
      </w:r>
    </w:p>
    <w:p w:rsidR="0099628C" w:rsidRPr="0099628C" w:rsidRDefault="0099628C" w:rsidP="0099628C">
      <w:pPr>
        <w:numPr>
          <w:ilvl w:val="0"/>
          <w:numId w:val="45"/>
        </w:num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b/>
          <w:bCs/>
          <w:lang w:bidi="pl-PL"/>
        </w:rPr>
        <w:t>Okolicznościowe  wystawki książek i fotogazetki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 z racji rocznic, dni, obchodów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na temat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 xml:space="preserve"> : </w:t>
      </w:r>
      <w:r w:rsidRPr="0099628C">
        <w:rPr>
          <w:rFonts w:ascii="Times New Roman" w:eastAsia="Times New Roman" w:hAnsi="Times New Roman" w:cs="Times New Roman"/>
          <w:lang w:bidi="pl-PL"/>
        </w:rPr>
        <w:t>Rok 2019 – Rokiem Stanisława Moniuszki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>,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Żołnierze Wyklęci- rocznica utworzenia AK, 100 rocznica urodzin Gustawa Herlinga-Grudzińskiego, Smoleńsk w literaturze faktu, 3maja, Dni Flagi,  Ogólnopolski Tydzień Bibliotek -Dowolność Czytania, 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 xml:space="preserve"> Wystawa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plastyczna i </w:t>
      </w:r>
      <w:proofErr w:type="spellStart"/>
      <w:r w:rsidRPr="0099628C">
        <w:rPr>
          <w:rFonts w:ascii="Times New Roman" w:eastAsia="Times New Roman" w:hAnsi="Times New Roman" w:cs="Times New Roman"/>
          <w:lang w:bidi="pl-PL"/>
        </w:rPr>
        <w:t>fotograficzna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>:</w:t>
      </w:r>
      <w:r w:rsidRPr="0099628C">
        <w:rPr>
          <w:rFonts w:ascii="Times New Roman" w:eastAsia="Times New Roman" w:hAnsi="Times New Roman" w:cs="Times New Roman"/>
          <w:lang w:bidi="pl-PL"/>
        </w:rPr>
        <w:t>Walory</w:t>
      </w:r>
      <w:proofErr w:type="spellEnd"/>
      <w:r w:rsidRPr="0099628C">
        <w:rPr>
          <w:rFonts w:ascii="Times New Roman" w:eastAsia="Times New Roman" w:hAnsi="Times New Roman" w:cs="Times New Roman"/>
          <w:lang w:bidi="pl-PL"/>
        </w:rPr>
        <w:t xml:space="preserve"> przyrodnicze Gminy Młynarze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i obszaru LGD  Zielony Szlak Niziny Mazowieckiej, Wystawa wianków świętojańskich,  Dni Papieskie, 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 xml:space="preserve">Wystawa: 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Życie i twórczość Stanisława Moniuszki- eksponowana w szkole podstawowej od X- XI oraz podczas imprezy 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>Narodowe śpiewanie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pieśni patriotycznych w ramach uroczystych obchodów Święta Niepodległości.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-    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>Warsztaty komiksowe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dla dzieci ze szkoły podstawowej przeprowadzone przez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współczesnego pisarza Zbigniewa Masternaka.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-    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>Warsztaty animacyjne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dla dzieci i młodzieży w ramach współpracy biblioteki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z lokalnym SGW ”</w:t>
      </w:r>
      <w:proofErr w:type="spellStart"/>
      <w:r w:rsidRPr="0099628C">
        <w:rPr>
          <w:rFonts w:ascii="Times New Roman" w:eastAsia="Times New Roman" w:hAnsi="Times New Roman" w:cs="Times New Roman"/>
          <w:lang w:bidi="pl-PL"/>
        </w:rPr>
        <w:t>Ogonowianki”podczas</w:t>
      </w:r>
      <w:proofErr w:type="spellEnd"/>
      <w:r w:rsidRPr="0099628C">
        <w:rPr>
          <w:rFonts w:ascii="Times New Roman" w:eastAsia="Times New Roman" w:hAnsi="Times New Roman" w:cs="Times New Roman"/>
          <w:lang w:bidi="pl-PL"/>
        </w:rPr>
        <w:t xml:space="preserve"> festynu ”Bądź bezpieczny, świeć odblaskiem”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-    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 xml:space="preserve">Uroczyste Pasowanie </w:t>
      </w:r>
      <w:r w:rsidRPr="0099628C">
        <w:rPr>
          <w:rFonts w:ascii="Times New Roman" w:eastAsia="Times New Roman" w:hAnsi="Times New Roman" w:cs="Times New Roman"/>
          <w:lang w:bidi="pl-PL"/>
        </w:rPr>
        <w:t>na Czytelnika GBP dla uczniów klasy pierwszej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szkoły podstawowej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 xml:space="preserve">: </w:t>
      </w:r>
      <w:r w:rsidRPr="0099628C">
        <w:rPr>
          <w:rFonts w:ascii="Times New Roman" w:eastAsia="Times New Roman" w:hAnsi="Times New Roman" w:cs="Times New Roman"/>
          <w:lang w:bidi="pl-PL"/>
        </w:rPr>
        <w:t>zapoznanie z biblioteką, gry i zabawy na podwórku, wręczenie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nagród dzieciom za najciekawsze prace wykonane podczas warsztatów  komiksowych,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gadżety dla każdego dziecka, grill.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</w:p>
    <w:p w:rsid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</w:p>
    <w:p w:rsidR="00CD57D0" w:rsidRPr="0099628C" w:rsidRDefault="00CD57D0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lastRenderedPageBreak/>
        <w:t xml:space="preserve">-    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>Współpraca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biblioteki w zakresie organizacji festynu „Nasza Mała Ojczyzna-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Tradycja dla Przyszłości”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>: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 zakup </w:t>
      </w:r>
      <w:proofErr w:type="spellStart"/>
      <w:r w:rsidRPr="0099628C">
        <w:rPr>
          <w:rFonts w:ascii="Times New Roman" w:eastAsia="Times New Roman" w:hAnsi="Times New Roman" w:cs="Times New Roman"/>
          <w:lang w:bidi="pl-PL"/>
        </w:rPr>
        <w:t>baneru</w:t>
      </w:r>
      <w:proofErr w:type="spellEnd"/>
      <w:r w:rsidRPr="0099628C">
        <w:rPr>
          <w:rFonts w:ascii="Times New Roman" w:eastAsia="Times New Roman" w:hAnsi="Times New Roman" w:cs="Times New Roman"/>
          <w:lang w:bidi="pl-PL"/>
        </w:rPr>
        <w:t xml:space="preserve"> i niezbędnych artykułów dekoracyjnych,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dofinansowanie do nagród konkursowych, oprawa plastyczna wystaw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 xml:space="preserve">: </w:t>
      </w:r>
      <w:r w:rsidRPr="0099628C">
        <w:rPr>
          <w:rFonts w:ascii="Times New Roman" w:eastAsia="Times New Roman" w:hAnsi="Times New Roman" w:cs="Times New Roman"/>
          <w:lang w:bidi="pl-PL"/>
        </w:rPr>
        <w:t>plastycznej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fotograficznej oraz wianków świętojańskich, udział w jury </w:t>
      </w:r>
      <w:proofErr w:type="spellStart"/>
      <w:r w:rsidRPr="0099628C">
        <w:rPr>
          <w:rFonts w:ascii="Times New Roman" w:eastAsia="Times New Roman" w:hAnsi="Times New Roman" w:cs="Times New Roman"/>
          <w:lang w:bidi="pl-PL"/>
        </w:rPr>
        <w:t>konkursowym,obsługa</w:t>
      </w:r>
      <w:proofErr w:type="spellEnd"/>
      <w:r w:rsidRPr="0099628C">
        <w:rPr>
          <w:rFonts w:ascii="Times New Roman" w:eastAsia="Times New Roman" w:hAnsi="Times New Roman" w:cs="Times New Roman"/>
          <w:lang w:bidi="pl-PL"/>
        </w:rPr>
        <w:t xml:space="preserve">  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fotograficzna festynu, dofinansowano autorski program kabaretowy „to </w:t>
      </w:r>
      <w:proofErr w:type="spellStart"/>
      <w:r w:rsidRPr="0099628C">
        <w:rPr>
          <w:rFonts w:ascii="Times New Roman" w:eastAsia="Times New Roman" w:hAnsi="Times New Roman" w:cs="Times New Roman"/>
          <w:lang w:bidi="pl-PL"/>
        </w:rPr>
        <w:t>ToToTo</w:t>
      </w:r>
      <w:proofErr w:type="spellEnd"/>
      <w:r w:rsidRPr="0099628C">
        <w:rPr>
          <w:rFonts w:ascii="Times New Roman" w:eastAsia="Times New Roman" w:hAnsi="Times New Roman" w:cs="Times New Roman"/>
          <w:lang w:bidi="pl-PL"/>
        </w:rPr>
        <w:t>”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-     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>Narodowe Czytanie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noweli Sachem Henryka Sienkiewicza, w którym uczestniczyli 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uczniowie starszych klas szkoły podstawowej, nauczyciele, pani Sekretarz urzędu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gminy, przedstawiciel GOPS.  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Biblioteka zorganizowała ww</w:t>
      </w:r>
      <w:r w:rsidRPr="0099628C">
        <w:rPr>
          <w:rFonts w:ascii="Times New Roman" w:eastAsia="Times New Roman" w:hAnsi="Times New Roman" w:cs="Times New Roman"/>
          <w:b/>
          <w:bCs/>
          <w:lang w:bidi="pl-PL"/>
        </w:rPr>
        <w:t>.</w:t>
      </w:r>
      <w:r w:rsidRPr="0099628C">
        <w:rPr>
          <w:rFonts w:ascii="Times New Roman" w:eastAsia="Times New Roman" w:hAnsi="Times New Roman" w:cs="Times New Roman"/>
          <w:lang w:bidi="pl-PL"/>
        </w:rPr>
        <w:t xml:space="preserve"> wystawę poświęconą Stanisławowi Moniuszce, dzięki wsparciu finansowemu Urzędu Marszałkowskiego Województwa Mazowieckiego oraz inicjatywie i dużemu zaangażowaniu pracowników Działu Wojewódzkiej Sieci Bibliotek            i Narodowej Opery w Warszawie. Biblioteka przystępując do tego projektu otrzymała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bezpłatnie 15 plansz wystawowych, które po wystawie przekazała do użytku w  szkole.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Biblioteka stale współpracowała ze szkołami w zakresie czytelnictwa dzieci i młodzieży, pośrednicząc w uzupełnianiu procesów edukacyjnych lokalnej społeczności.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W ramach współpracy ze szkołą zakupiono także nagrody książkowe z racji imprezy dla dzieci kl. I  - „Pasowanie na Ucznia”.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>Przysposabiano uczących się do korzystania z różnych źródeł drukowanych  i z Internetu.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  <w:lang w:bidi="pl-PL"/>
        </w:rPr>
      </w:pPr>
      <w:r w:rsidRPr="0099628C">
        <w:rPr>
          <w:rFonts w:ascii="Times New Roman" w:eastAsia="Times New Roman" w:hAnsi="Times New Roman" w:cs="Times New Roman"/>
          <w:lang w:bidi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Współpracowano również z Klubem Sportowym „Potok”,  Gminną Komisją ds. Alkoholizmu oraz Zespołem Interdyscyplinarnym w  zakresie organizowania wspólnych działań oraz upowszechniania literatury  profilaktycznej, zwłaszcza  dla dzieci i młodzieży.</w:t>
      </w:r>
    </w:p>
    <w:p w:rsidR="0099628C" w:rsidRPr="0099628C" w:rsidRDefault="0099628C" w:rsidP="0099628C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 w:rsidRPr="0099628C">
        <w:rPr>
          <w:rFonts w:ascii="Times New Roman" w:eastAsia="Times New Roman" w:hAnsi="Times New Roman" w:cs="Times New Roman"/>
        </w:rPr>
        <w:t>.</w:t>
      </w:r>
      <w:r w:rsidRPr="0099628C">
        <w:rPr>
          <w:rFonts w:ascii="Times New Roman" w:eastAsia="Times New Roman" w:hAnsi="Times New Roman" w:cs="Times New Roman"/>
          <w:b/>
          <w:bCs/>
        </w:rPr>
        <w:t xml:space="preserve">                                         </w:t>
      </w:r>
    </w:p>
    <w:p w:rsidR="0000592B" w:rsidRPr="00AB3176" w:rsidRDefault="00EE52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u w:val="single"/>
        </w:rPr>
      </w:pPr>
      <w:r w:rsidRPr="00AB3176">
        <w:rPr>
          <w:rFonts w:ascii="Times New Roman" w:eastAsia="Times New Roman" w:hAnsi="Times New Roman" w:cs="Times New Roman"/>
          <w:b/>
          <w:i/>
          <w:sz w:val="28"/>
          <w:u w:val="single"/>
        </w:rPr>
        <w:t>Pomoc społeczna</w:t>
      </w:r>
    </w:p>
    <w:p w:rsidR="0000592B" w:rsidRDefault="00EE52F3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Pomoc społeczna, jako instytucja polityki społecznej państwa, została powołana po to, żeby osoby i rodziny znajdujące się w trudnej sytuacji życiowej, poprzez własne zaangażowanie i współpracę z jednostkami do tego powołanymi, zmierzały w kierunku poprawy własnego życia i integracji ze społeczeństwem. Zgodnie z polskim ustawodawstwem większość działań pomocowych umiejscowionych jest na poziomie gminy, a ośrodki pomocy społecznej można uznać za wiodące i stanowiące podstawowe źródło wsparcia dla rodzin znajdujących się w sytuacji kryzysowej. Zajmują się one między innymi wypłacaniem świadczeń pieniężnych, niepieniężnych i udzielaniem wsparcia w zakresie przezwyciężenia trudnej sytuacji życiowej. Są instytucjami, które na poziomie lokalnym odpowiadają za koordynację działań z zakresu pomocy społecznej oraz za większość działań z zakresu polityki społecznej. Działania Ośrodka Pomocy Społecznej w Młynarzach ukierunkowane są na zapobieganie, łagodzenie skutków i przezwyciężanie najbardziej dotkliwych zjawisk społecznych: </w:t>
      </w:r>
      <w:r>
        <w:rPr>
          <w:rFonts w:ascii="Times New Roman" w:eastAsia="Times New Roman" w:hAnsi="Times New Roman" w:cs="Times New Roman"/>
        </w:rPr>
        <w:lastRenderedPageBreak/>
        <w:t>ubóstwa, bezrobocia, chorób, przemocy wielodzietności itp. Ośrodek Pomocy Społecznej przede wszystkim realizuje cele i zdania określone w przepisach ustawy o pomocy społecznej oraz przepisach wydanych na jej podstawie, w szczególności podejmuje działania zmierzające do zaspokajania niezbędnych potrzeb życiowych osób, rodzin oraz w miarę możliwości do życiowego ich usamodzielnienia, a także integracji tych osób i rodzin ze środowiskiem. Większość zadań z zakresu pomocy społecznej jest zadaniami własnymi gminy, w znacznej części dotowanymi z budżetu państwa. Do zadań własnych gminy o charakterze obowiązkow</w:t>
      </w:r>
      <w:r w:rsidR="00BB3C68">
        <w:rPr>
          <w:rFonts w:ascii="Times New Roman" w:eastAsia="Times New Roman" w:hAnsi="Times New Roman" w:cs="Times New Roman"/>
        </w:rPr>
        <w:t>ym, które GOPS realizował w 2019</w:t>
      </w:r>
      <w:r>
        <w:rPr>
          <w:rFonts w:ascii="Times New Roman" w:eastAsia="Times New Roman" w:hAnsi="Times New Roman" w:cs="Times New Roman"/>
        </w:rPr>
        <w:t xml:space="preserve"> roku w ramach obowiązującej ustawy o pomocy społecznej należało:</w:t>
      </w:r>
    </w:p>
    <w:p w:rsidR="0000592B" w:rsidRDefault="00EE52F3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przyznawanie i wypłacanie zasiłków stałych</w:t>
      </w:r>
    </w:p>
    <w:p w:rsidR="0000592B" w:rsidRDefault="00EE52F3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przyznawanie i wypłacanie zasiłków celowych,</w:t>
      </w:r>
    </w:p>
    <w:p w:rsidR="0000592B" w:rsidRDefault="00EE52F3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przyznawanie i wypłacanie zasiłków okresowych,</w:t>
      </w:r>
    </w:p>
    <w:p w:rsidR="0000592B" w:rsidRDefault="00EE52F3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dożywianie dzieci w szkołach</w:t>
      </w:r>
    </w:p>
    <w:p w:rsidR="0000592B" w:rsidRDefault="00EE52F3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opłacanie składek na ubezpieczenie zdrowotne określonych w przepisach o świadczeniach opieki zdrowotnej finansowanych ze środków publicznych,</w:t>
      </w:r>
    </w:p>
    <w:p w:rsidR="0000592B" w:rsidRDefault="00EE52F3">
      <w:pPr>
        <w:widowControl w:val="0"/>
        <w:numPr>
          <w:ilvl w:val="0"/>
          <w:numId w:val="22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praca socjalna.</w:t>
      </w:r>
    </w:p>
    <w:p w:rsidR="0000592B" w:rsidRDefault="00EE52F3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Realizacja powyższych zadań przedstawia się następująco: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Zasiłki stałe 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Składki na ubezpieczenie zdrowotne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Zasiłki okresowe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Zasiłki celowe i specjalne celowe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Usługi opiekuńcze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Program Rządowy „Pomoc państwa w zakresie dożywiania”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Rządowy Program dla rodzin wielodzietnych „Karta Dużej Rodziny”.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Utrzymanie Ośrodka Pomocy Społecznej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Realizacja zadań statutowych w zakresie świadczeń rodzinnych i funduszu alimentacyjnego oraz zasiłków dla opiekuna.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Pomoc Państwa w wychowywaniu dzieci – świadczenia wychowawcze.</w:t>
      </w:r>
    </w:p>
    <w:p w:rsidR="0000592B" w:rsidRDefault="00EE52F3">
      <w:pPr>
        <w:widowControl w:val="0"/>
        <w:numPr>
          <w:ilvl w:val="0"/>
          <w:numId w:val="23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Realizacja obowiązków wynikających z ustawy o przeciwdziałaniu przemocy w rodzinie.</w:t>
      </w:r>
    </w:p>
    <w:p w:rsidR="00BB3C68" w:rsidRDefault="00BB3C68">
      <w:pPr>
        <w:widowControl w:val="0"/>
        <w:spacing w:before="100" w:after="0" w:line="360" w:lineRule="auto"/>
        <w:rPr>
          <w:rFonts w:ascii="Times New Roman" w:eastAsia="Times New Roman" w:hAnsi="Times New Roman" w:cs="Times New Roman"/>
          <w:color w:val="FF0000"/>
        </w:rPr>
      </w:pPr>
    </w:p>
    <w:p w:rsidR="00BB3C68" w:rsidRPr="00AB3176" w:rsidRDefault="00BB3C68" w:rsidP="00BB3C68">
      <w:pPr>
        <w:pStyle w:val="Standard"/>
        <w:widowControl w:val="0"/>
        <w:spacing w:before="100" w:after="0" w:line="360" w:lineRule="auto"/>
      </w:pPr>
      <w:r w:rsidRPr="00AB3176">
        <w:rPr>
          <w:rFonts w:ascii="Times New Roman" w:eastAsia="Times New Roman" w:hAnsi="Times New Roman" w:cs="Times New Roman"/>
        </w:rPr>
        <w:t>Pomoc i wsparcie w gminie Młynarze z pomocy społecznej w 2019 roku uzyskało 86 osób, co stanowiło 4,93% wszystkich mieszkańców gminy.</w:t>
      </w:r>
    </w:p>
    <w:p w:rsidR="00BB3C68" w:rsidRPr="00AB3176" w:rsidRDefault="00BB3C68" w:rsidP="00BB3C68">
      <w:pPr>
        <w:pStyle w:val="Standard"/>
      </w:pPr>
      <w:r w:rsidRPr="00AB3176">
        <w:rPr>
          <w:rFonts w:ascii="Times New Roman" w:eastAsia="Times New Roman" w:hAnsi="Times New Roman" w:cs="Times New Roman"/>
        </w:rPr>
        <w:lastRenderedPageBreak/>
        <w:t>W gminie Młynarze najczęściej występującymi przyczynami trudnej sytuacji życiowej osób i rodzin a jednocześnie powodami ubiegania się o pomoc społeczną w 2019 roku było kolejno: ubóstwo,</w:t>
      </w:r>
    </w:p>
    <w:p w:rsidR="00BB3C68" w:rsidRPr="00AB3176" w:rsidRDefault="00BB3C68" w:rsidP="00BB3C68">
      <w:pPr>
        <w:pStyle w:val="Standard"/>
        <w:widowControl w:val="0"/>
        <w:spacing w:before="100" w:after="0" w:line="360" w:lineRule="auto"/>
      </w:pPr>
      <w:r w:rsidRPr="00AB3176">
        <w:rPr>
          <w:rFonts w:ascii="Times New Roman" w:eastAsia="Times New Roman" w:hAnsi="Times New Roman" w:cs="Times New Roman"/>
        </w:rPr>
        <w:t>W gminie Młynarze najczęściej występującymi przyczynami trudnej sytuacji życiowej osób i rodzin a jednocześnie powodami ubiegania się o pomoc społeczną w 2019 roku było kolejno: ubóstwo, długotrwała lub ciężka choroba, niepełnosprawność, bezrobocie, wielodzietność.</w:t>
      </w:r>
    </w:p>
    <w:p w:rsidR="00BB3C68" w:rsidRDefault="00BB3C68" w:rsidP="00BB3C68">
      <w:pPr>
        <w:pStyle w:val="Standard"/>
        <w:widowControl w:val="0"/>
        <w:spacing w:before="100" w:after="0" w:line="360" w:lineRule="auto"/>
      </w:pPr>
      <w:r>
        <w:rPr>
          <w:rFonts w:ascii="Times New Roman" w:eastAsia="Times New Roman" w:hAnsi="Times New Roman" w:cs="Times New Roman"/>
        </w:rPr>
        <w:t>Pomoc i wsparcie w gminie Młynarze z pomocy społecznej w 2019 roku w postaci świadczeń pieniężnych uzyskało 22 osoby, zaś w postaci świadczeń niepieniężnych 64 osoby.</w:t>
      </w:r>
    </w:p>
    <w:p w:rsidR="00BB3C68" w:rsidRDefault="00BB3C68" w:rsidP="00BB3C68">
      <w:pPr>
        <w:pStyle w:val="Standard"/>
        <w:widowControl w:val="0"/>
        <w:spacing w:before="100" w:after="0" w:line="360" w:lineRule="auto"/>
      </w:pPr>
      <w:r>
        <w:rPr>
          <w:rFonts w:ascii="Times New Roman" w:eastAsia="Times New Roman" w:hAnsi="Times New Roman" w:cs="Times New Roman"/>
        </w:rPr>
        <w:t>Świadczenia pieniężne z pomocy społecznej to: zasiłek stały na kwotę 23.385,57 zł, zasiłek okresowy na kwotę 4.011,07 zł, zasiłek celowy ogółem na kwotę 8.130,00 zł, w tym zasiłek celowy przyznany w ramach programu wieloletniego „Pomoc państwa w zakresie dożywiania” na kwotę 2.100,00 zł. Świadczenia niepieniężne z pomocy społecznej: posiłek dla dzieci ogółem na kwotę 14.177,40 zł. oraz usługi opiekuńcze na kwotę 8.702,53 zł.</w:t>
      </w:r>
    </w:p>
    <w:p w:rsidR="00BB3C68" w:rsidRDefault="00BB3C68" w:rsidP="00BB3C68">
      <w:pPr>
        <w:pStyle w:val="Standard"/>
        <w:widowControl w:val="0"/>
        <w:spacing w:before="100" w:after="0" w:line="360" w:lineRule="auto"/>
      </w:pPr>
      <w:r>
        <w:rPr>
          <w:rFonts w:ascii="Times New Roman" w:eastAsia="Times New Roman" w:hAnsi="Times New Roman" w:cs="Times New Roman"/>
        </w:rPr>
        <w:t>Liczba rodzin pobierających w roku 2019 świadczenie wychowawcze wyniosła 160 rodzin. Całkowita kwota przyznanego świadczenia w formie świadczenia wychowawczego wyniosła 1.733.015,40 zł. Liczba rodzin pobierających w roku 2019 zasiłek rodzinny wyniosła 90 rodzin. Całkowita kwota przyznanego świadczenia w formie zasiłków rodzinnych wraz z dodatkami, jednorazową zapomogą z tytułu urodzenia dziecka oraz świadczeniami opiekuńczymi  i świadczeniami z funduszu alimentacyjnego wyniosła  682.287,39 zł.</w:t>
      </w:r>
    </w:p>
    <w:p w:rsidR="00BB3C68" w:rsidRDefault="00BB3C68" w:rsidP="00BB3C68">
      <w:pPr>
        <w:pStyle w:val="Standard"/>
        <w:widowControl w:val="0"/>
        <w:spacing w:before="100" w:after="0" w:line="360" w:lineRule="auto"/>
      </w:pPr>
      <w:r>
        <w:rPr>
          <w:rFonts w:ascii="Times New Roman" w:eastAsia="Times New Roman" w:hAnsi="Times New Roman" w:cs="Times New Roman"/>
        </w:rPr>
        <w:t>W roku 2019 kadra ośrodka pomocy społecznej liczyła 4 osoby w tym: kadra kierownicza 1 osoba, pracownicy socjalni – 2 osoby, pozostali pracownicy 1 osoba. Spośród zatrudnionych w ośrodku pomocy społecznej pracowników 2 osoby posiadają wykształcenie wyższe, 2 osoby wykształcenie średnie policealne. Kierownik oraz 1 pracownik socjalny posiadają specjalizację z zakresu organizacji pomocy społecznej.</w:t>
      </w:r>
    </w:p>
    <w:p w:rsidR="00BB3C68" w:rsidRDefault="00BB3C68" w:rsidP="00BB3C68">
      <w:pPr>
        <w:pStyle w:val="Standard"/>
        <w:widowControl w:val="0"/>
        <w:spacing w:before="100" w:after="0" w:line="360" w:lineRule="auto"/>
      </w:pPr>
      <w:r>
        <w:rPr>
          <w:rFonts w:ascii="Times New Roman" w:eastAsia="Times New Roman" w:hAnsi="Times New Roman" w:cs="Times New Roman"/>
        </w:rPr>
        <w:t>W gminie Młynarze środki finansowe wydatkowane na pomoc społeczną i inne obszary polityki społecznej w budżecie jednostki samorządu terytorialnego (zadania własne i zadania zlecone) wyniosły w 2019 roku 2.912.237 zł. W dziale 855 – Rodzina wydatkowano 2.564.156 zł. W dziale 852 - Pomoc społeczna wydatkowano 318.208 zł. W dziale 851 – Ochrona zdrowia wydatkowano 25.253 zł. W dziale 854 - Edukacja i opieka wychowawcza wydatkowano  4.898 zł. Najwięcej środków wydano na następujące pozycje budżetowe: świadczenie wychowawcze na kwotę 1.756.283 zł, świadczenia rodzinne, świadczenie z funduszu alimentacyjnego oraz składki na ubezpieczenie emerytalne i rentowe z ubezpieczenia społecznego na kwotę 734.207 zł, Ośrodek Pomocy społecznej na kwotę 256.896  zł.</w:t>
      </w:r>
    </w:p>
    <w:p w:rsidR="00BB3C68" w:rsidRDefault="00BB3C68" w:rsidP="00BB3C68">
      <w:pPr>
        <w:pStyle w:val="Standard"/>
        <w:widowControl w:val="0"/>
        <w:spacing w:before="100" w:after="0" w:line="360" w:lineRule="auto"/>
      </w:pPr>
      <w:r>
        <w:rPr>
          <w:rFonts w:ascii="Times New Roman" w:eastAsia="Times New Roman" w:hAnsi="Times New Roman" w:cs="Times New Roman"/>
        </w:rPr>
        <w:t>W roku 2019 gmina Młynarze uczestniczyła w realizacji programów:</w:t>
      </w:r>
    </w:p>
    <w:p w:rsidR="00BB3C68" w:rsidRDefault="00BB3C68" w:rsidP="00BB3C68">
      <w:pPr>
        <w:pStyle w:val="Standard"/>
        <w:widowControl w:val="0"/>
        <w:numPr>
          <w:ilvl w:val="0"/>
          <w:numId w:val="38"/>
        </w:numPr>
        <w:tabs>
          <w:tab w:val="left" w:pos="1440"/>
        </w:tabs>
        <w:spacing w:before="100" w:after="0" w:line="360" w:lineRule="auto"/>
      </w:pPr>
      <w:r>
        <w:rPr>
          <w:rFonts w:ascii="Times New Roman" w:eastAsia="Times New Roman" w:hAnsi="Times New Roman" w:cs="Times New Roman"/>
        </w:rPr>
        <w:t>z wieloletniego rządowego programu „Posiłek w szkole i w domu” na lata 2019-2023 - objęto pomocą 63 dzieci i uczniów na łączną kwotę 14.177 zł,</w:t>
      </w:r>
    </w:p>
    <w:p w:rsidR="00BB3C68" w:rsidRDefault="00BB3C68" w:rsidP="00BB3C68">
      <w:pPr>
        <w:pStyle w:val="Standard"/>
        <w:widowControl w:val="0"/>
        <w:numPr>
          <w:ilvl w:val="0"/>
          <w:numId w:val="38"/>
        </w:numPr>
        <w:tabs>
          <w:tab w:val="left" w:pos="1440"/>
        </w:tabs>
        <w:spacing w:before="100" w:after="0" w:line="360" w:lineRule="auto"/>
      </w:pPr>
      <w:r>
        <w:rPr>
          <w:rFonts w:ascii="Times New Roman" w:eastAsia="Times New Roman" w:hAnsi="Times New Roman" w:cs="Times New Roman"/>
        </w:rPr>
        <w:lastRenderedPageBreak/>
        <w:t>program "Karta Dużej Rodziny" – wydano 125 kart Dużej rodziny z tego 76 rodzicom i 49 dzieciom na łączną kwotę 278 zł.</w:t>
      </w:r>
    </w:p>
    <w:p w:rsidR="00BB3C68" w:rsidRDefault="00BB3C68" w:rsidP="00BB3C68">
      <w:pPr>
        <w:pStyle w:val="Standard"/>
        <w:widowControl w:val="0"/>
        <w:numPr>
          <w:ilvl w:val="0"/>
          <w:numId w:val="38"/>
        </w:numPr>
        <w:tabs>
          <w:tab w:val="left" w:pos="1440"/>
        </w:tabs>
        <w:spacing w:before="100" w:after="0" w:line="360" w:lineRule="auto"/>
      </w:pPr>
      <w:r>
        <w:rPr>
          <w:rFonts w:ascii="Times New Roman" w:eastAsia="Times New Roman" w:hAnsi="Times New Roman" w:cs="Times New Roman"/>
        </w:rPr>
        <w:t>z programu "Dobry Start" skorzystało 223 uczniów na kwotę 66.900  zł,</w:t>
      </w:r>
    </w:p>
    <w:p w:rsidR="00BB3C68" w:rsidRDefault="00BB3C68" w:rsidP="00BB3C68">
      <w:pPr>
        <w:pStyle w:val="Standard"/>
        <w:widowControl w:val="0"/>
        <w:spacing w:before="100" w:after="0" w:line="360" w:lineRule="auto"/>
      </w:pPr>
      <w:r>
        <w:rPr>
          <w:rFonts w:ascii="Times New Roman" w:eastAsia="Times New Roman" w:hAnsi="Times New Roman" w:cs="Times New Roman"/>
        </w:rPr>
        <w:t>realizowano ponadto:</w:t>
      </w:r>
    </w:p>
    <w:p w:rsidR="00BB3C68" w:rsidRDefault="00BB3C68" w:rsidP="00BB3C68">
      <w:pPr>
        <w:pStyle w:val="Standard"/>
        <w:widowControl w:val="0"/>
        <w:numPr>
          <w:ilvl w:val="0"/>
          <w:numId w:val="40"/>
        </w:numPr>
        <w:tabs>
          <w:tab w:val="left" w:pos="1440"/>
        </w:tabs>
        <w:spacing w:before="100" w:after="0" w:line="360" w:lineRule="auto"/>
      </w:pPr>
      <w:r>
        <w:rPr>
          <w:rFonts w:ascii="Times New Roman" w:eastAsia="Times New Roman" w:hAnsi="Times New Roman" w:cs="Times New Roman"/>
        </w:rPr>
        <w:t>Program wspierania rodziny na lata 2017-2019: zakłada z</w:t>
      </w:r>
      <w:r>
        <w:rPr>
          <w:rFonts w:ascii="Times New Roman" w:eastAsia="Times New Roman" w:hAnsi="Times New Roman" w:cs="Times New Roman"/>
          <w:color w:val="000000"/>
        </w:rPr>
        <w:t>apewnienie zintegrowanego i kompleksowego systemu wsparcia dla rodzin z terenu gminy Młynarze przeżywających trudności w wypełnianiu funkcji opiekuńczo-wychowawczych. Jest realizowany poprzez działania takie jak: diagnoza i zanalizowanie środowisk rodzinnych i rozwijanie umiejętności opiekuńczo-wychowawczych rodzin, zabezpieczenie podstawowych potrzeb bytowych dziecka i rodziny, zapobieganie powstawaniu sytuacji kryzysowych wymagających interwencji oraz rozwiązywaniu już istniejących.</w:t>
      </w:r>
    </w:p>
    <w:p w:rsidR="00BB3C68" w:rsidRDefault="00BB3C68" w:rsidP="00BB3C68">
      <w:pPr>
        <w:pStyle w:val="Standard"/>
        <w:widowControl w:val="0"/>
        <w:numPr>
          <w:ilvl w:val="0"/>
          <w:numId w:val="40"/>
        </w:numPr>
        <w:spacing w:before="100" w:after="0" w:line="360" w:lineRule="auto"/>
      </w:pPr>
      <w:r>
        <w:rPr>
          <w:rFonts w:ascii="Times New Roman" w:eastAsia="Times New Roman" w:hAnsi="Times New Roman" w:cs="Times New Roman"/>
          <w:color w:val="000000"/>
        </w:rPr>
        <w:t>Gminny program przeciwdziałania przemocy w rodzinie oraz ochrony przemocy w rodzinie w gminie Młynarze na lata 2017-2022: zakłada skuteczność działań na rzecz przeciwdziałania przemocy w rodzinach na terenie gminy Młynarze. Jest realizowany poprzez działania w zakresie: zwiększenia świadomości społecznej na temat zjawiska przemocy, zapewnienie kompleksowej pomocy członkom rodzin, w których występuje problem przemocy, zwiększenie kompetencji zawodowych pracowników służb, instytucji i organizacji zajmujących się przeciwdziałaniem przemocy w rodzinie.</w:t>
      </w:r>
    </w:p>
    <w:p w:rsidR="00BB3C68" w:rsidRPr="00BB3C68" w:rsidRDefault="00BB3C68" w:rsidP="00BB3C68">
      <w:pPr>
        <w:pStyle w:val="Standard"/>
        <w:widowControl w:val="0"/>
        <w:spacing w:before="100"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 powyższego wynikają następujące wnioski:</w:t>
      </w:r>
    </w:p>
    <w:p w:rsidR="00BB3C68" w:rsidRDefault="00BB3C68" w:rsidP="00BB3C68">
      <w:pPr>
        <w:pStyle w:val="Standard"/>
        <w:widowControl w:val="0"/>
        <w:spacing w:before="100" w:after="0" w:line="360" w:lineRule="auto"/>
        <w:ind w:left="360"/>
      </w:pPr>
      <w:r>
        <w:rPr>
          <w:rFonts w:ascii="Times New Roman" w:eastAsia="Times New Roman" w:hAnsi="Times New Roman" w:cs="Times New Roman"/>
        </w:rPr>
        <w:t>Rozwój usług opiekuńczych dla osób starszych i niepełnosprawnych wymagających opieki w miejscu ich zamieszkania,</w:t>
      </w:r>
    </w:p>
    <w:p w:rsidR="00BB3C68" w:rsidRDefault="00BB3C68" w:rsidP="00BB3C68">
      <w:pPr>
        <w:pStyle w:val="Standard"/>
        <w:widowControl w:val="0"/>
        <w:spacing w:before="100" w:after="0" w:line="360" w:lineRule="auto"/>
        <w:ind w:left="360"/>
      </w:pPr>
      <w:r>
        <w:rPr>
          <w:rFonts w:ascii="Times New Roman" w:eastAsia="Times New Roman" w:hAnsi="Times New Roman" w:cs="Times New Roman"/>
        </w:rPr>
        <w:t>Poszerzenie oferty pomocy dla osób i rodzin dotkniętych przemocą domową,</w:t>
      </w:r>
    </w:p>
    <w:p w:rsidR="00BB3C68" w:rsidRDefault="00BB3C68" w:rsidP="00BB3C68">
      <w:pPr>
        <w:pStyle w:val="Standard"/>
        <w:widowControl w:val="0"/>
        <w:spacing w:before="100" w:after="0" w:line="360" w:lineRule="auto"/>
        <w:ind w:left="360"/>
      </w:pPr>
      <w:r>
        <w:rPr>
          <w:rFonts w:ascii="Times New Roman" w:eastAsia="Times New Roman" w:hAnsi="Times New Roman" w:cs="Times New Roman"/>
        </w:rPr>
        <w:t xml:space="preserve">Wspieranie przedsięwzięć służących utrzymanie dziecka w rodzinie biologicznej. </w:t>
      </w:r>
      <w:r>
        <w:rPr>
          <w:rFonts w:ascii="Times New Roman" w:eastAsia="Times New Roman" w:hAnsi="Times New Roman" w:cs="Times New Roman"/>
          <w:color w:val="000000"/>
        </w:rPr>
        <w:t>Doskonalić metody pracy z rodziną, realizować różne formy pomocy rodzinie m.in. poprzez pracę socjalną w rodzinach, w których występują problemy opiekuńczo-wychowawcze.</w:t>
      </w:r>
    </w:p>
    <w:p w:rsidR="00BB3C68" w:rsidRDefault="00BB3C68" w:rsidP="00BB3C68">
      <w:pPr>
        <w:pStyle w:val="Standard"/>
        <w:widowControl w:val="0"/>
        <w:spacing w:before="100" w:after="0" w:line="360" w:lineRule="auto"/>
        <w:ind w:left="360"/>
      </w:pPr>
      <w:r>
        <w:rPr>
          <w:rFonts w:ascii="Times New Roman" w:eastAsia="Times New Roman" w:hAnsi="Times New Roman" w:cs="Times New Roman"/>
        </w:rPr>
        <w:t>Wspomaganie funkcjonowania rodzin wieloproblemowych z grup zagrożonych wykluczeniem społecznym (zatrudnienie asystenta rodziny),</w:t>
      </w:r>
    </w:p>
    <w:p w:rsidR="00BB3C68" w:rsidRDefault="00BB3C68" w:rsidP="00BB3C68">
      <w:pPr>
        <w:pStyle w:val="Standard"/>
        <w:widowControl w:val="0"/>
        <w:spacing w:before="100" w:after="0" w:line="360" w:lineRule="auto"/>
        <w:ind w:left="360"/>
      </w:pPr>
      <w:r>
        <w:rPr>
          <w:rFonts w:ascii="Times New Roman" w:eastAsia="Times New Roman" w:hAnsi="Times New Roman" w:cs="Times New Roman"/>
          <w:color w:val="000000"/>
        </w:rPr>
        <w:t>Podejmować działania profilaktyczne i wspomagające wobec rodzin z problemami opiekuńczo-wychowawczymi.</w:t>
      </w:r>
    </w:p>
    <w:p w:rsidR="00BB3C68" w:rsidRDefault="00BB3C68" w:rsidP="00BB3C68">
      <w:pPr>
        <w:pStyle w:val="Standard"/>
        <w:widowControl w:val="0"/>
        <w:spacing w:before="100" w:after="0" w:line="360" w:lineRule="auto"/>
        <w:ind w:left="360"/>
      </w:pPr>
      <w:r>
        <w:rPr>
          <w:rFonts w:ascii="Times New Roman" w:eastAsia="Times New Roman" w:hAnsi="Times New Roman" w:cs="Times New Roman"/>
          <w:color w:val="000000"/>
        </w:rPr>
        <w:t>Podejmować działania profilaktyczne skierowane do uczniów w zakresie przeciwdziałania uzależnieniom jak i mieszkańców gminy.</w:t>
      </w:r>
    </w:p>
    <w:p w:rsidR="00BB3C68" w:rsidRPr="00AB3176" w:rsidRDefault="00BB3C68" w:rsidP="00BB3C68">
      <w:pPr>
        <w:pStyle w:val="Standard"/>
        <w:widowControl w:val="0"/>
        <w:spacing w:before="100" w:after="0" w:line="360" w:lineRule="auto"/>
        <w:ind w:left="360"/>
        <w:rPr>
          <w:color w:val="000000" w:themeColor="text1"/>
        </w:rPr>
      </w:pPr>
      <w:bookmarkStart w:id="0" w:name="_GoBack1"/>
      <w:r w:rsidRPr="00AB3176">
        <w:rPr>
          <w:rFonts w:ascii="Times New Roman" w:eastAsia="Times New Roman" w:hAnsi="Times New Roman" w:cs="Times New Roman"/>
          <w:color w:val="000000" w:themeColor="text1"/>
        </w:rPr>
        <w:t>Zagospodarowania czasu wolnego uczniów poprzez poszerzenie oferty zajęć pozalekcyjnych.</w:t>
      </w:r>
    </w:p>
    <w:p w:rsidR="00BB3C68" w:rsidRPr="00AB3176" w:rsidRDefault="00BB3C68" w:rsidP="00BB3C68">
      <w:pPr>
        <w:pStyle w:val="Standard"/>
        <w:widowControl w:val="0"/>
        <w:spacing w:before="100" w:after="0" w:line="360" w:lineRule="auto"/>
        <w:ind w:left="360"/>
        <w:rPr>
          <w:color w:val="000000" w:themeColor="text1"/>
        </w:rPr>
      </w:pPr>
      <w:r w:rsidRPr="00AB3176">
        <w:rPr>
          <w:rFonts w:ascii="Times New Roman" w:eastAsia="Times New Roman" w:hAnsi="Times New Roman" w:cs="Times New Roman"/>
          <w:color w:val="000000" w:themeColor="text1"/>
        </w:rPr>
        <w:t xml:space="preserve">Zwiększenie pomocy psychologiczno-pedagogicznej dla uczniów na terenie szkół w różnych </w:t>
      </w:r>
      <w:r w:rsidRPr="00AB3176">
        <w:rPr>
          <w:rFonts w:ascii="Times New Roman" w:eastAsia="Times New Roman" w:hAnsi="Times New Roman" w:cs="Times New Roman"/>
          <w:color w:val="000000" w:themeColor="text1"/>
        </w:rPr>
        <w:lastRenderedPageBreak/>
        <w:t>formach w zależności od potrzeb uczniów.</w:t>
      </w:r>
    </w:p>
    <w:p w:rsidR="008F4D4F" w:rsidRDefault="00BB3C68" w:rsidP="00350D65">
      <w:pPr>
        <w:pStyle w:val="Standard"/>
        <w:widowControl w:val="0"/>
        <w:spacing w:before="100" w:after="0" w:line="360" w:lineRule="auto"/>
        <w:ind w:left="360"/>
        <w:rPr>
          <w:rFonts w:ascii="Times New Roman" w:eastAsia="Times New Roman" w:hAnsi="Times New Roman" w:cs="Times New Roman"/>
          <w:color w:val="000000" w:themeColor="text1"/>
        </w:rPr>
      </w:pPr>
      <w:r w:rsidRPr="00AB3176">
        <w:rPr>
          <w:rFonts w:ascii="Times New Roman" w:eastAsia="Times New Roman" w:hAnsi="Times New Roman" w:cs="Times New Roman"/>
          <w:color w:val="000000" w:themeColor="text1"/>
        </w:rPr>
        <w:t>W celu osiągnięcia zamierzonych efektów konieczne jest dalsze interdyscyplinarne współdziałanie wielu służb działających na rzecz rodziny i dzieci, bowiem wyłącznie praca zespołowa stanowić będzie pełne i kompleksowe wsparci</w:t>
      </w:r>
      <w:bookmarkEnd w:id="0"/>
      <w:r w:rsidR="00350D65">
        <w:rPr>
          <w:rFonts w:ascii="Times New Roman" w:eastAsia="Times New Roman" w:hAnsi="Times New Roman" w:cs="Times New Roman"/>
          <w:color w:val="000000" w:themeColor="text1"/>
        </w:rPr>
        <w:t>a</w:t>
      </w:r>
    </w:p>
    <w:p w:rsidR="008F4D4F" w:rsidRDefault="008F4D4F" w:rsidP="008F4D4F">
      <w:pPr>
        <w:pStyle w:val="Standard"/>
        <w:widowControl w:val="0"/>
        <w:spacing w:before="100" w:after="0" w:line="360" w:lineRule="auto"/>
        <w:ind w:left="360"/>
        <w:rPr>
          <w:rFonts w:ascii="Times New Roman" w:eastAsia="Times New Roman" w:hAnsi="Times New Roman" w:cs="Times New Roman"/>
          <w:color w:val="000000" w:themeColor="text1"/>
        </w:rPr>
      </w:pPr>
    </w:p>
    <w:p w:rsidR="008F4D4F" w:rsidRPr="008F4D4F" w:rsidRDefault="008F4D4F" w:rsidP="00350D65">
      <w:pPr>
        <w:pStyle w:val="Standard"/>
        <w:widowControl w:val="0"/>
        <w:spacing w:before="100" w:after="0" w:line="360" w:lineRule="auto"/>
        <w:rPr>
          <w:color w:val="000000" w:themeColor="text1"/>
        </w:rPr>
      </w:pPr>
    </w:p>
    <w:p w:rsidR="008F4D4F" w:rsidRPr="008F4D4F" w:rsidRDefault="008F4D4F" w:rsidP="008F4D4F">
      <w:pPr>
        <w:spacing w:line="360" w:lineRule="auto"/>
        <w:rPr>
          <w:rFonts w:cs="Times New Roman"/>
          <w:b/>
          <w:i/>
          <w:sz w:val="28"/>
          <w:szCs w:val="28"/>
        </w:rPr>
      </w:pPr>
      <w:r>
        <w:rPr>
          <w:rFonts w:cs="Times New Roman"/>
          <w:b/>
          <w:i/>
          <w:sz w:val="28"/>
          <w:szCs w:val="28"/>
        </w:rPr>
        <w:t>Rada Gminy Młynarze w 2019</w:t>
      </w:r>
      <w:r w:rsidRPr="006467B4">
        <w:rPr>
          <w:rFonts w:cs="Times New Roman"/>
          <w:b/>
          <w:i/>
          <w:sz w:val="28"/>
          <w:szCs w:val="28"/>
        </w:rPr>
        <w:t xml:space="preserve"> roku pracow</w:t>
      </w:r>
      <w:r>
        <w:rPr>
          <w:rFonts w:cs="Times New Roman"/>
          <w:b/>
          <w:i/>
          <w:sz w:val="28"/>
          <w:szCs w:val="28"/>
        </w:rPr>
        <w:t>ała nad następującymi Uchwałami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843"/>
        <w:gridCol w:w="8222"/>
      </w:tblGrid>
      <w:tr w:rsidR="006D4889" w:rsidRPr="008F4D4F" w:rsidTr="008F4D4F">
        <w:tc>
          <w:tcPr>
            <w:tcW w:w="567" w:type="dxa"/>
          </w:tcPr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 xml:space="preserve">Lp. </w:t>
            </w:r>
          </w:p>
        </w:tc>
        <w:tc>
          <w:tcPr>
            <w:tcW w:w="1843" w:type="dxa"/>
          </w:tcPr>
          <w:p w:rsidR="008F4D4F" w:rsidRPr="008F4D4F" w:rsidRDefault="008F4D4F" w:rsidP="008F4D4F">
            <w:pPr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Numer Uchwały</w:t>
            </w:r>
          </w:p>
        </w:tc>
        <w:tc>
          <w:tcPr>
            <w:tcW w:w="8222" w:type="dxa"/>
          </w:tcPr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Treść Uchwały</w:t>
            </w:r>
          </w:p>
        </w:tc>
      </w:tr>
      <w:tr w:rsidR="006D4889" w:rsidRPr="008F4D4F" w:rsidTr="008F4D4F">
        <w:tc>
          <w:tcPr>
            <w:tcW w:w="567" w:type="dxa"/>
          </w:tcPr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F4D4F" w:rsidRP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CD57D0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CD57D0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8F4D4F" w:rsidRPr="00CD57D0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8F4D4F" w:rsidRPr="00CD57D0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7D0" w:rsidRPr="00CD57D0" w:rsidRDefault="00CD57D0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CD57D0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8F4D4F" w:rsidRPr="00CD57D0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CD57D0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6D4889" w:rsidRPr="00CD57D0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8F4D4F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F0AC5" w:rsidRPr="00CD57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4889" w:rsidRPr="00CD57D0" w:rsidRDefault="006D4889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6D4889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C9B" w:rsidRPr="00CD57D0" w:rsidRDefault="008F4D4F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  <w:p w:rsidR="00A00C9B" w:rsidRPr="00CD57D0" w:rsidRDefault="00A00C9B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CD57D0" w:rsidRDefault="008F4D4F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  <w:p w:rsidR="006D4889" w:rsidRPr="00CD57D0" w:rsidRDefault="006D4889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  <w:p w:rsidR="006D4889" w:rsidRPr="00CD57D0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Pr="00CD57D0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  <w:p w:rsidR="00AF0AC5" w:rsidRPr="00CD57D0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7D0" w:rsidRPr="00CD57D0" w:rsidRDefault="00CD57D0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CD57D0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  <w:p w:rsidR="00AF0AC5" w:rsidRPr="00CD57D0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Pr="00CD57D0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6D4889" w:rsidRPr="00CD57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4889" w:rsidRPr="00CD57D0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Pr="00CD57D0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  <w:p w:rsidR="00AF0AC5" w:rsidRPr="00CD57D0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Pr="00CD57D0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  <w:p w:rsidR="006D4889" w:rsidRPr="00CD57D0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CD57D0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CD57D0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7D0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  <w:p w:rsidR="00AF0AC5" w:rsidRDefault="00AF0AC5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  <w:r w:rsidR="006D4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6D4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7D0" w:rsidRDefault="00CD57D0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7D0" w:rsidRDefault="00CD57D0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7D0" w:rsidRDefault="00CD57D0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7D0" w:rsidRDefault="00CD57D0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  <w:p w:rsidR="006D4889" w:rsidRDefault="006D4889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Pr="008F4D4F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  <w:p w:rsidR="006D4889" w:rsidRDefault="006D4889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  <w:p w:rsidR="006D4889" w:rsidRPr="008F4D4F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IV/25/2019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IV/26/2019</w:t>
            </w:r>
          </w:p>
          <w:p w:rsid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IV/27/2019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IV/28/2019</w:t>
            </w: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IV/29/2019</w:t>
            </w: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2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IV/30/2019</w:t>
            </w:r>
          </w:p>
          <w:p w:rsidR="008F4D4F" w:rsidRPr="004D2AA6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4D2AA6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2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IV/31/2019</w:t>
            </w:r>
          </w:p>
          <w:p w:rsidR="008F4D4F" w:rsidRPr="004D2AA6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2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V/32/2019</w:t>
            </w: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2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V/33/2019</w:t>
            </w: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2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V/34/2019</w:t>
            </w: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2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V/35/2019</w:t>
            </w: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4D2AA6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V/36/2019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VI/37/2019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VI/38/2019</w:t>
            </w:r>
          </w:p>
          <w:p w:rsidR="00A00C9B" w:rsidRDefault="00A00C9B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VI/39/201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  <w:p w:rsidR="00A00C9B" w:rsidRDefault="00A00C9B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0C9B" w:rsidRDefault="00A00C9B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0C9B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VI/40/2019</w:t>
            </w:r>
          </w:p>
          <w:p w:rsidR="00A00C9B" w:rsidRDefault="00A00C9B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0C9B" w:rsidRDefault="00A00C9B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VI/41/2019</w:t>
            </w:r>
          </w:p>
          <w:p w:rsidR="006D4889" w:rsidRDefault="006D4889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0C9B" w:rsidRDefault="008F4D4F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VI/42/2019</w:t>
            </w:r>
          </w:p>
          <w:p w:rsidR="00A00C9B" w:rsidRDefault="00A00C9B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8F4D4F" w:rsidRDefault="008F4D4F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VII/43/2019</w:t>
            </w:r>
          </w:p>
          <w:p w:rsidR="00A00C9B" w:rsidRDefault="00A00C9B" w:rsidP="00A00C9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VII/44/2019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8F4D4F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VII/45/2019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VII/46/2019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VII/47/2019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VIII/48/2019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VIII/49/2019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VIII/50/2019</w:t>
            </w:r>
          </w:p>
          <w:p w:rsid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Pr="008F4D4F" w:rsidRDefault="006D4889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VIII/51/2019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VIII/52/201</w:t>
            </w:r>
            <w:r w:rsidR="00AF0A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VIII/53/2019</w:t>
            </w:r>
            <w:r w:rsidR="006D48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IX/54/2019</w:t>
            </w:r>
            <w:r w:rsidR="006D48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IX/55/2019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IX/56/2019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IX/57/2019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D57D0" w:rsidRDefault="00CD57D0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IX/58/2019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Pr="008F4D4F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IX/59/2019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X/60/2019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X/61/2019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X/62/2019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X/63/2019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X/64/2019</w:t>
            </w:r>
          </w:p>
          <w:p w:rsidR="00CD57D0" w:rsidRPr="008F4D4F" w:rsidRDefault="00CD57D0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X/65/2019</w:t>
            </w: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X/66/2019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X/67/2019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X/68/2019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XI/69/2019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XI/70/2019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XI/71/2019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XI/72/2019</w:t>
            </w: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CD57D0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XI/73/2019</w:t>
            </w:r>
          </w:p>
          <w:p w:rsidR="00CD57D0" w:rsidRDefault="00CD57D0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D57D0" w:rsidRDefault="00CD57D0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XI/74/2019</w:t>
            </w:r>
          </w:p>
          <w:p w:rsidR="007A548C" w:rsidRPr="008F4D4F" w:rsidRDefault="007A548C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XI/75/2019</w:t>
            </w:r>
          </w:p>
          <w:p w:rsidR="006D4889" w:rsidRDefault="006D4889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A548C" w:rsidRDefault="007A548C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XI/76/2019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XI/77/2019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00C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XI/78/2019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00C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XI/79/2019</w:t>
            </w:r>
          </w:p>
          <w:p w:rsidR="006D4889" w:rsidRDefault="006D4889" w:rsidP="006D48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D4889" w:rsidRDefault="008F4D4F" w:rsidP="007A548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00C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XI/80/20</w:t>
            </w:r>
            <w:r w:rsidR="007A54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  <w:p w:rsidR="007A548C" w:rsidRDefault="007A548C" w:rsidP="007A548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A00C9B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00C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XI/81/2019</w:t>
            </w:r>
          </w:p>
          <w:p w:rsidR="008F4D4F" w:rsidRPr="00A00C9B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D4F" w:rsidRPr="00A00C9B" w:rsidRDefault="008F4D4F" w:rsidP="008F4D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222" w:type="dxa"/>
          </w:tcPr>
          <w:p w:rsidR="008F4D4F" w:rsidRPr="004D2AA6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Wieloletniej Prognozy Finansowej Gminy Młynarze na lata 2019-2022</w:t>
            </w: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2019 rok</w:t>
            </w:r>
          </w:p>
          <w:p w:rsidR="008F4D4F" w:rsidRPr="008F4D4F" w:rsidRDefault="008F4D4F" w:rsidP="008F4D4F">
            <w:pPr>
              <w:pStyle w:val="Textbody"/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Programu opieki nad zwierzętami bezdomnymi oraz zapobiegania bezdomności zwierząt na terenie Gminy Młynarze  w 2019 roku</w:t>
            </w: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nie wyrażenia zgody na wyodrębnienie funduszu sołeckiego                                              w 2020 roku</w:t>
            </w: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 zarządzenia wyborów do organów sołectw</w:t>
            </w: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zgody na odstąpienie od obowiązku przetargowego trybu zawarcia umowy dzierżawy</w:t>
            </w:r>
          </w:p>
          <w:p w:rsidR="008F4D4F" w:rsidRPr="008F4D4F" w:rsidRDefault="008F4D4F" w:rsidP="008F4D4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 sprawie  wyboru przedstawiciela do Rady Społecznej przy Samodzielnym Publicznym Zakładzie Opieki Zdrowotnej – Zespole Zakładów im. Duńskiego Czerwonego Krzyża w Makowie Mazowieckim </w:t>
            </w:r>
          </w:p>
          <w:p w:rsid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zmiany w Wieloletniej Prognozy Finansowej Gminy Młynarze na lata 2019-2022</w:t>
            </w:r>
          </w:p>
          <w:p w:rsid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2019 rok</w:t>
            </w: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 ustalenia planu sieci publicznej szkoły podstawowej oraz określenia granic jej obwodów</w:t>
            </w:r>
          </w:p>
          <w:p w:rsidR="008F4D4F" w:rsidRDefault="008F4D4F" w:rsidP="008F4D4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8F4D4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bCs/>
                <w:sz w:val="24"/>
                <w:szCs w:val="24"/>
              </w:rPr>
              <w:t>w sprawie ustalenia planu sieci publicznego przedszkola i oddziału przedszkolnego w szkole podstawowej, dla których organem prowadzącym jest Gmina Młynarze</w:t>
            </w:r>
          </w:p>
          <w:p w:rsidR="008F4D4F" w:rsidRDefault="008F4D4F" w:rsidP="008F4D4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F4D4F" w:rsidRPr="008F4D4F" w:rsidRDefault="008F4D4F" w:rsidP="008F4D4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 xml:space="preserve">w  sprawie podwyższenia kryterium dochodowego uprawniającego do przyznania  pomocy w formie zasiłku celowego -  świadczenia pieniężnego na zakup posiłku </w:t>
            </w:r>
            <w:r w:rsidRPr="008F4D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lub żywności dla osób objętych wieloletnim rządowym programem „Posiłek w szkole i w domu” na lata 2019 – 2023</w:t>
            </w:r>
          </w:p>
          <w:p w:rsid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wotum zaufania dla Wójta Gminy Młynarze</w:t>
            </w: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 zatwierdzenia sprawozdań finansowych wraz ze sprawozdaniem z wykonania budżetu Gminy Młynarze za 2018 rok</w:t>
            </w: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udzielenia Wójtowi Gminy Młynarze absolutorium z tytułu wykonania budżetu gminy za 2018  rok</w:t>
            </w:r>
          </w:p>
          <w:p w:rsidR="008F4D4F" w:rsidRDefault="008F4D4F" w:rsidP="008F4D4F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bCs/>
                <w:sz w:val="24"/>
                <w:szCs w:val="24"/>
              </w:rPr>
              <w:t>w sprawie przesłania  wniosku Wójtowi Gminy Młynarze</w:t>
            </w:r>
            <w:r w:rsidR="006D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D4889" w:rsidRDefault="006D4889" w:rsidP="006D4889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4889" w:rsidRDefault="006D4889" w:rsidP="006D4889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zmiany w Wieloletniej Prognozy Finansowej Gminy Młynarze na lata 2019-2022</w:t>
            </w:r>
            <w:r w:rsidR="006D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  <w:p w:rsidR="006D4889" w:rsidRDefault="006D4889" w:rsidP="006D4889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2019 rok</w:t>
            </w:r>
            <w:r w:rsidR="006D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D4889" w:rsidRDefault="006D4889" w:rsidP="006D4889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 sprawie rozpatrzenia skargi na działalność Wójta Gminy Młynarze</w:t>
            </w:r>
            <w:r w:rsidR="006D4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4889" w:rsidRDefault="006D4889" w:rsidP="006D4889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6D4889" w:rsidRDefault="008F4D4F" w:rsidP="006D4889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 sprawie regulaminu utrzymania czystości i porządku na terenie Gminy Młynarze</w:t>
            </w:r>
            <w:r w:rsidR="006D488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D4889" w:rsidRDefault="006D4889" w:rsidP="006D4889">
            <w:pPr>
              <w:autoSpaceDE w:val="0"/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8F4D4F" w:rsidRDefault="008F4D4F" w:rsidP="006D4889">
            <w:pPr>
              <w:autoSpaceDE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szczegółowego sposobu i zakresu świadczenia usług w zakresie odbierania odpadów komunalnych od właścicieli nieruchomości i zagospodarowania tych odpadów</w:t>
            </w:r>
          </w:p>
          <w:p w:rsidR="006D4889" w:rsidRPr="006D4889" w:rsidRDefault="006D4889" w:rsidP="006D4889">
            <w:pPr>
              <w:autoSpaceDE w:val="0"/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bCs/>
                <w:sz w:val="24"/>
                <w:szCs w:val="24"/>
              </w:rPr>
              <w:t>w sprawie wyboru metody ustalenia opłaty za gospodarowanie odpadami komunalnymi, ustalenia stawki takiej opłaty oraz ustalenia stawki opłaty za pojemnik o określonej pojemności</w:t>
            </w: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ustalenia ryczałtowej stawki opłaty za gospodarowanie odpadami komunalnymi za rok od domku letniskowego lub innej nieruchomości wykorzystanej na cele rekreacyjno – wypoczynkowe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zmiany w Wieloletniej Prognozy Finansowej Gminy Młynarze na lata 2019-2022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2019 rok</w:t>
            </w: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 xml:space="preserve">w sprawie  zatwierdzenia  do realizacji  projektu RPMA.10.01.01-14-b743/18 pt.  „Inwestujemy w naszą przyszłość”  współfinansowanego z  Europejskiego Funduszu  Społecznego dla Osi priorytetowej  X Edukacja dla rozwoju regionu, </w:t>
            </w:r>
            <w:r w:rsidRPr="008F4D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Działanie 10.1 Kształcenie i rozwój dzieci i młodzieży, Poddziałanie 10.1.1 Edukacja ogólna RPO WM</w:t>
            </w:r>
          </w:p>
          <w:p w:rsidR="006D4889" w:rsidRDefault="006D4889" w:rsidP="006D48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6D48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zmiany w Wieloletniej Prognozy Finansowej Gminy Młynarze na lata 2019-2022</w:t>
            </w:r>
          </w:p>
          <w:p w:rsidR="00AF0AC5" w:rsidRDefault="00AF0AC5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2019 rok</w:t>
            </w:r>
          </w:p>
          <w:p w:rsid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Pr="008F4D4F" w:rsidRDefault="00AF0AC5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AF0AC5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bCs/>
                <w:sz w:val="24"/>
                <w:szCs w:val="24"/>
              </w:rPr>
              <w:t>w sprawie wyboru metody ustalenia opłaty za gospodarowanie odpadami komunalnymi, ustalenia stawki takiej opłaty oraz ustalenia stawki opłaty za pojemnik o określonej pojemności</w:t>
            </w:r>
            <w:r w:rsidR="006D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D4889" w:rsidRDefault="006D4889" w:rsidP="00AF0AC5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F0AC5" w:rsidRPr="006D4889" w:rsidRDefault="008F4D4F" w:rsidP="00AF0AC5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zmiany w Wieloletniej Prognozy Finansowej Gminy Młynarze na lata 2019-2022</w:t>
            </w:r>
          </w:p>
          <w:p w:rsidR="00AF0AC5" w:rsidRDefault="00AF0AC5" w:rsidP="00AF0AC5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2019 rok</w:t>
            </w:r>
          </w:p>
          <w:p w:rsidR="006D4889" w:rsidRDefault="006D4889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bCs/>
                <w:sz w:val="24"/>
                <w:szCs w:val="24"/>
              </w:rPr>
              <w:t>zmieniająca uchwałę</w:t>
            </w:r>
            <w:r w:rsidRPr="008F4D4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8F4D4F">
              <w:rPr>
                <w:rFonts w:ascii="Times New Roman" w:hAnsi="Times New Roman" w:cs="Times New Roman"/>
                <w:bCs/>
                <w:sz w:val="24"/>
                <w:szCs w:val="24"/>
              </w:rPr>
              <w:t>w sprawie regulaminu utrzymania czystości i porządku na terenie</w:t>
            </w: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4D4F">
              <w:rPr>
                <w:rFonts w:ascii="Times New Roman" w:hAnsi="Times New Roman" w:cs="Times New Roman"/>
                <w:bCs/>
                <w:sz w:val="24"/>
                <w:szCs w:val="24"/>
              </w:rPr>
              <w:t>Gminy Młynarze</w:t>
            </w:r>
          </w:p>
          <w:p w:rsidR="008F4D4F" w:rsidRDefault="008F4D4F" w:rsidP="008F4D4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8F4D4F" w:rsidRDefault="006D4889" w:rsidP="008F4D4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8F4D4F" w:rsidP="00AF0AC5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bCs/>
                <w:sz w:val="24"/>
                <w:szCs w:val="24"/>
              </w:rPr>
              <w:t>zmieniająca uchwałę w sprawie szczegółowego sposobu i zakresu świadczenia usług w zakresie odbierania odpadów komunalnych od właścicieli nieruchomości i zagospodarowania tych odpadów</w:t>
            </w:r>
          </w:p>
          <w:p w:rsidR="00AF0AC5" w:rsidRDefault="00AF0AC5" w:rsidP="00AF0AC5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F4D4F" w:rsidRDefault="008F4D4F" w:rsidP="00AF0AC5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zasad udzielania i rozmiaru obniżek tygodniowego obowiązkowego wymiaru godzin zajęć nauczycielom, którym powierzono stanowiska kierownicze, tygodniowego obowiązkowego wymiaru godzin zajęć niektórych nauczycieli i specjalistów, obowiązujących w szkołach prowadzonych przez Gminę Młynarze</w:t>
            </w:r>
          </w:p>
          <w:p w:rsidR="00AF0AC5" w:rsidRPr="00AF0AC5" w:rsidRDefault="00AF0AC5" w:rsidP="00AF0AC5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regulaminu określającego wysokość, warunki przyznawania, obliczania  i wypłacania niektórych składników wynagrodzenia nauczycieli oraz  nagród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zmiany w Wieloletniej Prognozy Finansowej Gminy Młynarze na lata 2019-2022</w:t>
            </w:r>
          </w:p>
          <w:p w:rsidR="00AF0AC5" w:rsidRDefault="00AF0AC5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AF0A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2019 rok</w:t>
            </w:r>
          </w:p>
          <w:p w:rsid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8F4D4F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stwierdzenia zakończenia działalności dotychczasowego Publicznego Gimnazjum imienia Papieża Jana Pawła II w Młynarzach</w:t>
            </w:r>
          </w:p>
          <w:p w:rsidR="006D4889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4889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 xml:space="preserve">w sprawie zasad udzielania i rozmiaru obniżek tygodniowego obowiązkowego </w:t>
            </w:r>
            <w:r w:rsidRPr="008F4D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wymiaru godzin zajęć nauczycielom, którym powierzono stanowiska kierownicze, tygodniowego obowiązkowego wymiaru godzin zajęć niektórych nauczycieli i specjalistów, obowiązujących w szkołach prowadzonych przez Gminę Młynarze</w:t>
            </w:r>
          </w:p>
          <w:p w:rsidR="006D4889" w:rsidRDefault="006D4889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</w:t>
            </w:r>
            <w:bookmarkStart w:id="1" w:name="page1"/>
            <w:bookmarkEnd w:id="1"/>
            <w:r w:rsidRPr="008F4D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4D4F">
              <w:rPr>
                <w:rFonts w:ascii="Times New Roman" w:eastAsia="Times New Roman" w:hAnsi="Times New Roman" w:cs="Times New Roman"/>
                <w:sz w:val="24"/>
                <w:szCs w:val="24"/>
              </w:rPr>
              <w:t>rozpatrzenia petycji  dotyczącej wprowadzenia Polityki Zarządzania Konfliktem Interesów</w:t>
            </w:r>
          </w:p>
          <w:p w:rsidR="006D4889" w:rsidRDefault="006D4889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Default="008F4D4F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rozpatrzenia wniosku</w:t>
            </w:r>
          </w:p>
          <w:p w:rsidR="006D4889" w:rsidRPr="008F4D4F" w:rsidRDefault="006D4889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szczegółowych zasad wnoszenia inicjatyw obywatelskich, zasad tworzenia komitetów inicjatyw uchwałodawczych, zasad promocji o obywatelskich inicjatywach uchwałodawczych oraz wymogów formalnych jakim muszą odpowiadać składane projekty</w:t>
            </w:r>
          </w:p>
          <w:p w:rsidR="006D4889" w:rsidRDefault="006D4889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Programu współpracy Gminy Młynarze z organizacjami pozarządowymi oraz podmiotami, o których mowa w art. 3 ust. 3 ustawy o działalności pożytku publicznego  i o wolontariacie, na 2020 rok.</w:t>
            </w:r>
          </w:p>
          <w:p w:rsidR="006D4889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obniżenia średniej ceny skupu żyta za okres 11 kwartałów będącej podstawą do ustalenia podatku rolnego na rok podatkowy 2020, na obszarze gminy Młynarze</w:t>
            </w:r>
          </w:p>
          <w:p w:rsidR="006D4889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zmiany w Wieloletniej Prognozy Finansowej Gminy Młynarze na lata 2019-2022</w:t>
            </w:r>
          </w:p>
          <w:p w:rsidR="00AF0AC5" w:rsidRDefault="00AF0AC5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2019 rok</w:t>
            </w:r>
          </w:p>
          <w:p w:rsidR="00AF0AC5" w:rsidRDefault="00AF0AC5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przyjęcia planu pracy Komisji Rewizyjnej</w:t>
            </w:r>
          </w:p>
          <w:p w:rsidR="006D4889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przyjęcia planów pracy stałych Komisji Rady Gminy Młynarze</w:t>
            </w:r>
          </w:p>
          <w:p w:rsidR="008F4D4F" w:rsidRP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AC5" w:rsidRDefault="00AF0AC5" w:rsidP="008F4D4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przyjęcia planu pracy Komisji Skarg, Wniosków i Petycji</w:t>
            </w:r>
          </w:p>
          <w:p w:rsidR="006D4889" w:rsidRDefault="006D4889" w:rsidP="006D488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6D488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6D488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uchwalenia Gminnego Programu Profilaktyki i Rozwiązywania Problemów Alkoholowych na 2020 r</w:t>
            </w:r>
          </w:p>
          <w:p w:rsid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Pr="008F4D4F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AF0AC5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uchwalenia Gminnego Programu Przeciwdziałania Narkomanii                          na 2020 r</w:t>
            </w:r>
            <w:r w:rsidR="006D4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4889" w:rsidRDefault="006D4889" w:rsidP="00AF0AC5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6D4889" w:rsidP="00AF0AC5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8F4D4F" w:rsidRDefault="008F4D4F" w:rsidP="00AF0AC5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 Wieloletniej Prognozy Finansowej Gminy Młynarze na lata 2020-2023</w:t>
            </w:r>
          </w:p>
          <w:p w:rsidR="006D4889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</w:rPr>
            </w:pPr>
          </w:p>
          <w:p w:rsidR="006D4889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</w:rPr>
            </w:pPr>
          </w:p>
          <w:p w:rsidR="006D4889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uchwalenia uchwały budżetowej Gminy Młynarze na rok 2020</w:t>
            </w:r>
            <w:r w:rsidR="006D4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4889" w:rsidRDefault="006D4889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48C" w:rsidRDefault="007A548C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 zmiany  Statutu Gminy Młynarze</w:t>
            </w:r>
          </w:p>
          <w:p w:rsidR="006D4889" w:rsidRDefault="006D4889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D4F" w:rsidRPr="006D4889" w:rsidRDefault="008F4D4F" w:rsidP="006D488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bCs/>
                <w:sz w:val="24"/>
                <w:szCs w:val="24"/>
              </w:rPr>
              <w:t>w sprawie rozpatrzenia petycji</w:t>
            </w:r>
          </w:p>
          <w:p w:rsidR="008F4D4F" w:rsidRDefault="008F4D4F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48C" w:rsidRPr="008F4D4F" w:rsidRDefault="007A548C" w:rsidP="008F4D4F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89" w:rsidRDefault="008F4D4F" w:rsidP="006D488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bCs/>
                <w:sz w:val="24"/>
                <w:szCs w:val="24"/>
              </w:rPr>
              <w:t>w sprawie określenia średniej ceny jednostki paliwa</w:t>
            </w:r>
          </w:p>
          <w:p w:rsidR="007A548C" w:rsidRDefault="007A548C" w:rsidP="006D488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2" w:name="_GoBack"/>
            <w:bookmarkEnd w:id="2"/>
          </w:p>
          <w:p w:rsidR="008F4D4F" w:rsidRPr="006D4889" w:rsidRDefault="008F4D4F" w:rsidP="006D488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4F">
              <w:rPr>
                <w:rFonts w:ascii="Times New Roman" w:hAnsi="Times New Roman" w:cs="Times New Roman"/>
                <w:sz w:val="24"/>
                <w:szCs w:val="24"/>
              </w:rPr>
              <w:t>w sprawie stawek opłaty za zajęcie pasa drogowego</w:t>
            </w:r>
          </w:p>
        </w:tc>
      </w:tr>
    </w:tbl>
    <w:p w:rsidR="008F4D4F" w:rsidRDefault="008F4D4F" w:rsidP="008F4D4F"/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EE52F3">
      <w:pPr>
        <w:widowControl w:val="0"/>
        <w:spacing w:before="100" w:after="0" w:line="360" w:lineRule="auto"/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</w:rPr>
        <w:t>Gmina Młynarze</w:t>
      </w:r>
      <w:r>
        <w:rPr>
          <w:rFonts w:ascii="Times New Roman" w:eastAsia="Times New Roman" w:hAnsi="Times New Roman" w:cs="Times New Roman"/>
        </w:rPr>
        <w:t xml:space="preserve"> w następnych latach planuje dalszą poprawę infrastruktury drogowej poprzez przebudowę i modernizację dróg gminnych, remont budynku  Szkoły Podstawowej wraz z infrastrukturą sportową  na terenie szkoły oraz remonty świetlic i modernizacje oświetlenia ulicznego.</w:t>
      </w: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7E41E8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W ó j t </w:t>
      </w:r>
    </w:p>
    <w:p w:rsidR="007E41E8" w:rsidRDefault="007E41E8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/-/ Adam </w:t>
      </w:r>
      <w:proofErr w:type="spellStart"/>
      <w:r>
        <w:rPr>
          <w:rFonts w:ascii="Times New Roman" w:eastAsia="Times New Roman" w:hAnsi="Times New Roman" w:cs="Times New Roman"/>
        </w:rPr>
        <w:t>Rupiński</w:t>
      </w:r>
      <w:proofErr w:type="spellEnd"/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00592B" w:rsidRDefault="0000592B">
      <w:pPr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sectPr w:rsidR="0000592B" w:rsidSect="00847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StarSymbol, 'Arial Unicode MS'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000000"/>
        <w:sz w:val="28"/>
        <w:szCs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000000"/>
        <w:sz w:val="28"/>
        <w:szCs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8"/>
        <w:szCs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000000"/>
        <w:sz w:val="28"/>
        <w:szCs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000000"/>
        <w:sz w:val="28"/>
        <w:szCs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8"/>
        <w:szCs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000000"/>
        <w:sz w:val="28"/>
        <w:szCs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000000"/>
        <w:sz w:val="28"/>
        <w:szCs w:val="2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000000"/>
        <w:sz w:val="28"/>
        <w:szCs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000000"/>
        <w:sz w:val="28"/>
        <w:szCs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8"/>
        <w:szCs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000000"/>
        <w:sz w:val="28"/>
        <w:szCs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000000"/>
        <w:sz w:val="28"/>
        <w:szCs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8"/>
        <w:szCs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000000"/>
        <w:sz w:val="28"/>
        <w:szCs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000000"/>
        <w:sz w:val="28"/>
        <w:szCs w:val="2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AB4B62"/>
    <w:multiLevelType w:val="multilevel"/>
    <w:tmpl w:val="478407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2BF75AB"/>
    <w:multiLevelType w:val="multilevel"/>
    <w:tmpl w:val="FB9633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5DD1430"/>
    <w:multiLevelType w:val="multilevel"/>
    <w:tmpl w:val="2EBA0C5E"/>
    <w:styleLink w:val="WW8Num2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7">
    <w:nsid w:val="062F56AE"/>
    <w:multiLevelType w:val="multilevel"/>
    <w:tmpl w:val="330A950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>
    <w:nsid w:val="09D26110"/>
    <w:multiLevelType w:val="multilevel"/>
    <w:tmpl w:val="F9CA6D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A4E7625"/>
    <w:multiLevelType w:val="multilevel"/>
    <w:tmpl w:val="568477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D32687D"/>
    <w:multiLevelType w:val="multilevel"/>
    <w:tmpl w:val="902C73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3611546"/>
    <w:multiLevelType w:val="multilevel"/>
    <w:tmpl w:val="8182E5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42E4E5E"/>
    <w:multiLevelType w:val="multilevel"/>
    <w:tmpl w:val="8620F9EC"/>
    <w:styleLink w:val="WWNum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13">
    <w:nsid w:val="14540962"/>
    <w:multiLevelType w:val="multilevel"/>
    <w:tmpl w:val="699C05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4E71F91"/>
    <w:multiLevelType w:val="multilevel"/>
    <w:tmpl w:val="51300E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762387C"/>
    <w:multiLevelType w:val="multilevel"/>
    <w:tmpl w:val="4CBE82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9977BBB"/>
    <w:multiLevelType w:val="multilevel"/>
    <w:tmpl w:val="F8D23B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A2B1B09"/>
    <w:multiLevelType w:val="multilevel"/>
    <w:tmpl w:val="D67AA520"/>
    <w:styleLink w:val="WWNum1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18">
    <w:nsid w:val="220959D6"/>
    <w:multiLevelType w:val="multilevel"/>
    <w:tmpl w:val="39F261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7A4095F"/>
    <w:multiLevelType w:val="multilevel"/>
    <w:tmpl w:val="719AA2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C045B22"/>
    <w:multiLevelType w:val="multilevel"/>
    <w:tmpl w:val="E45407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306234F"/>
    <w:multiLevelType w:val="multilevel"/>
    <w:tmpl w:val="99A6EF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6E101AB"/>
    <w:multiLevelType w:val="multilevel"/>
    <w:tmpl w:val="5292462E"/>
    <w:styleLink w:val="WWNum2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23">
    <w:nsid w:val="36FF23A0"/>
    <w:multiLevelType w:val="multilevel"/>
    <w:tmpl w:val="F3DC02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AD54DA9"/>
    <w:multiLevelType w:val="multilevel"/>
    <w:tmpl w:val="1782267E"/>
    <w:styleLink w:val="WWNum1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25">
    <w:nsid w:val="3D9C5106"/>
    <w:multiLevelType w:val="multilevel"/>
    <w:tmpl w:val="54386D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01F1B3B"/>
    <w:multiLevelType w:val="multilevel"/>
    <w:tmpl w:val="9844E5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3E43327"/>
    <w:multiLevelType w:val="multilevel"/>
    <w:tmpl w:val="1B62ED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7280E75"/>
    <w:multiLevelType w:val="multilevel"/>
    <w:tmpl w:val="85AC9C4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9">
    <w:nsid w:val="4F6F1B3A"/>
    <w:multiLevelType w:val="multilevel"/>
    <w:tmpl w:val="51686F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FAA6E23"/>
    <w:multiLevelType w:val="multilevel"/>
    <w:tmpl w:val="207467E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1">
    <w:nsid w:val="546207A0"/>
    <w:multiLevelType w:val="multilevel"/>
    <w:tmpl w:val="8EF0EF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4C41D43"/>
    <w:multiLevelType w:val="multilevel"/>
    <w:tmpl w:val="B08450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E453EA2"/>
    <w:multiLevelType w:val="hybridMultilevel"/>
    <w:tmpl w:val="BFE2F0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9A65F6"/>
    <w:multiLevelType w:val="multilevel"/>
    <w:tmpl w:val="B4D01B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71C626B"/>
    <w:multiLevelType w:val="multilevel"/>
    <w:tmpl w:val="D562C510"/>
    <w:styleLink w:val="WW8Num4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36">
    <w:nsid w:val="6D72732A"/>
    <w:multiLevelType w:val="multilevel"/>
    <w:tmpl w:val="C31A3D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15101E7"/>
    <w:multiLevelType w:val="multilevel"/>
    <w:tmpl w:val="65B0A8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50346DA"/>
    <w:multiLevelType w:val="multilevel"/>
    <w:tmpl w:val="ACF819B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9">
    <w:nsid w:val="7E206877"/>
    <w:multiLevelType w:val="multilevel"/>
    <w:tmpl w:val="DDEAE2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9"/>
  </w:num>
  <w:num w:numId="3">
    <w:abstractNumId w:val="13"/>
  </w:num>
  <w:num w:numId="4">
    <w:abstractNumId w:val="11"/>
  </w:num>
  <w:num w:numId="5">
    <w:abstractNumId w:val="14"/>
  </w:num>
  <w:num w:numId="6">
    <w:abstractNumId w:val="32"/>
  </w:num>
  <w:num w:numId="7">
    <w:abstractNumId w:val="39"/>
  </w:num>
  <w:num w:numId="8">
    <w:abstractNumId w:val="26"/>
  </w:num>
  <w:num w:numId="9">
    <w:abstractNumId w:val="20"/>
  </w:num>
  <w:num w:numId="10">
    <w:abstractNumId w:val="23"/>
  </w:num>
  <w:num w:numId="11">
    <w:abstractNumId w:val="25"/>
  </w:num>
  <w:num w:numId="12">
    <w:abstractNumId w:val="16"/>
  </w:num>
  <w:num w:numId="13">
    <w:abstractNumId w:val="21"/>
  </w:num>
  <w:num w:numId="14">
    <w:abstractNumId w:val="10"/>
  </w:num>
  <w:num w:numId="15">
    <w:abstractNumId w:val="27"/>
  </w:num>
  <w:num w:numId="16">
    <w:abstractNumId w:val="5"/>
  </w:num>
  <w:num w:numId="17">
    <w:abstractNumId w:val="34"/>
  </w:num>
  <w:num w:numId="18">
    <w:abstractNumId w:val="4"/>
  </w:num>
  <w:num w:numId="19">
    <w:abstractNumId w:val="37"/>
  </w:num>
  <w:num w:numId="20">
    <w:abstractNumId w:val="19"/>
  </w:num>
  <w:num w:numId="21">
    <w:abstractNumId w:val="31"/>
  </w:num>
  <w:num w:numId="22">
    <w:abstractNumId w:val="29"/>
  </w:num>
  <w:num w:numId="23">
    <w:abstractNumId w:val="8"/>
  </w:num>
  <w:num w:numId="24">
    <w:abstractNumId w:val="18"/>
  </w:num>
  <w:num w:numId="25">
    <w:abstractNumId w:val="36"/>
  </w:num>
  <w:num w:numId="26">
    <w:abstractNumId w:val="2"/>
  </w:num>
  <w:num w:numId="27">
    <w:abstractNumId w:val="1"/>
  </w:num>
  <w:num w:numId="28">
    <w:abstractNumId w:val="3"/>
  </w:num>
  <w:num w:numId="29">
    <w:abstractNumId w:val="0"/>
  </w:num>
  <w:num w:numId="30">
    <w:abstractNumId w:val="24"/>
  </w:num>
  <w:num w:numId="31">
    <w:abstractNumId w:val="17"/>
  </w:num>
  <w:num w:numId="32">
    <w:abstractNumId w:val="24"/>
  </w:num>
  <w:num w:numId="33">
    <w:abstractNumId w:val="30"/>
  </w:num>
  <w:num w:numId="34">
    <w:abstractNumId w:val="17"/>
  </w:num>
  <w:num w:numId="35">
    <w:abstractNumId w:val="38"/>
  </w:num>
  <w:num w:numId="36">
    <w:abstractNumId w:val="28"/>
  </w:num>
  <w:num w:numId="37">
    <w:abstractNumId w:val="7"/>
  </w:num>
  <w:num w:numId="38">
    <w:abstractNumId w:val="12"/>
  </w:num>
  <w:num w:numId="39">
    <w:abstractNumId w:val="22"/>
  </w:num>
  <w:num w:numId="40">
    <w:abstractNumId w:val="22"/>
  </w:num>
  <w:num w:numId="41">
    <w:abstractNumId w:val="33"/>
  </w:num>
  <w:num w:numId="42">
    <w:abstractNumId w:val="6"/>
  </w:num>
  <w:num w:numId="43">
    <w:abstractNumId w:val="6"/>
  </w:num>
  <w:num w:numId="44">
    <w:abstractNumId w:val="35"/>
  </w:num>
  <w:num w:numId="45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0592B"/>
    <w:rsid w:val="0000592B"/>
    <w:rsid w:val="00043FED"/>
    <w:rsid w:val="000C4D03"/>
    <w:rsid w:val="001850F8"/>
    <w:rsid w:val="0020392D"/>
    <w:rsid w:val="0022005C"/>
    <w:rsid w:val="00244227"/>
    <w:rsid w:val="00350D65"/>
    <w:rsid w:val="004261C1"/>
    <w:rsid w:val="004272E5"/>
    <w:rsid w:val="004473FC"/>
    <w:rsid w:val="004526A0"/>
    <w:rsid w:val="00495C02"/>
    <w:rsid w:val="004A1E9E"/>
    <w:rsid w:val="004D2AA6"/>
    <w:rsid w:val="005B5898"/>
    <w:rsid w:val="00645E7B"/>
    <w:rsid w:val="006527FE"/>
    <w:rsid w:val="006D4889"/>
    <w:rsid w:val="00715CF1"/>
    <w:rsid w:val="007A548C"/>
    <w:rsid w:val="007E41E8"/>
    <w:rsid w:val="00847D0C"/>
    <w:rsid w:val="0089454C"/>
    <w:rsid w:val="008D41B5"/>
    <w:rsid w:val="008F4D4F"/>
    <w:rsid w:val="00906655"/>
    <w:rsid w:val="0094726A"/>
    <w:rsid w:val="0099628C"/>
    <w:rsid w:val="00A00C9B"/>
    <w:rsid w:val="00AB3176"/>
    <w:rsid w:val="00AF0AC5"/>
    <w:rsid w:val="00BB3C68"/>
    <w:rsid w:val="00CD57D0"/>
    <w:rsid w:val="00D2312E"/>
    <w:rsid w:val="00D66C30"/>
    <w:rsid w:val="00D73086"/>
    <w:rsid w:val="00E220FF"/>
    <w:rsid w:val="00EC15CB"/>
    <w:rsid w:val="00EE52F3"/>
    <w:rsid w:val="00FB5874"/>
    <w:rsid w:val="00FB6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7D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3C68"/>
    <w:pPr>
      <w:suppressAutoHyphens/>
      <w:autoSpaceDN w:val="0"/>
      <w:textAlignment w:val="baseline"/>
    </w:pPr>
    <w:rPr>
      <w:rFonts w:ascii="Calibri" w:eastAsia="Lucida Sans Unicode" w:hAnsi="Calibri" w:cs="Tahoma"/>
      <w:kern w:val="3"/>
    </w:rPr>
  </w:style>
  <w:style w:type="numbering" w:customStyle="1" w:styleId="WWNum10">
    <w:name w:val="WWNum10"/>
    <w:basedOn w:val="Bezlisty"/>
    <w:rsid w:val="00BB3C68"/>
    <w:pPr>
      <w:numPr>
        <w:numId w:val="30"/>
      </w:numPr>
    </w:pPr>
  </w:style>
  <w:style w:type="numbering" w:customStyle="1" w:styleId="WWNum11">
    <w:name w:val="WWNum11"/>
    <w:basedOn w:val="Bezlisty"/>
    <w:rsid w:val="00BB3C68"/>
    <w:pPr>
      <w:numPr>
        <w:numId w:val="31"/>
      </w:numPr>
    </w:pPr>
  </w:style>
  <w:style w:type="numbering" w:customStyle="1" w:styleId="WWNum1">
    <w:name w:val="WWNum1"/>
    <w:basedOn w:val="Bezlisty"/>
    <w:rsid w:val="00BB3C68"/>
    <w:pPr>
      <w:numPr>
        <w:numId w:val="38"/>
      </w:numPr>
    </w:pPr>
  </w:style>
  <w:style w:type="numbering" w:customStyle="1" w:styleId="WWNum2">
    <w:name w:val="WWNum2"/>
    <w:basedOn w:val="Bezlisty"/>
    <w:rsid w:val="00BB3C68"/>
    <w:pPr>
      <w:numPr>
        <w:numId w:val="39"/>
      </w:numPr>
    </w:pPr>
  </w:style>
  <w:style w:type="paragraph" w:customStyle="1" w:styleId="Textbody">
    <w:name w:val="Text body"/>
    <w:basedOn w:val="Normalny"/>
    <w:rsid w:val="008F4D4F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  <w:sz w:val="28"/>
    </w:rPr>
  </w:style>
  <w:style w:type="paragraph" w:styleId="Akapitzlist">
    <w:name w:val="List Paragraph"/>
    <w:basedOn w:val="Normalny"/>
    <w:uiPriority w:val="34"/>
    <w:qFormat/>
    <w:rsid w:val="00495C0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26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WW8Num2">
    <w:name w:val="WW8Num2"/>
    <w:basedOn w:val="Bezlisty"/>
    <w:rsid w:val="0099628C"/>
    <w:pPr>
      <w:numPr>
        <w:numId w:val="42"/>
      </w:numPr>
    </w:pPr>
  </w:style>
  <w:style w:type="numbering" w:customStyle="1" w:styleId="WW8Num4">
    <w:name w:val="WW8Num4"/>
    <w:basedOn w:val="Bezlisty"/>
    <w:rsid w:val="0099628C"/>
    <w:pPr>
      <w:numPr>
        <w:numId w:val="4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lynarze.bipgminy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7C22A-E61A-4D96-A936-5949578F7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51</Pages>
  <Words>13958</Words>
  <Characters>83750</Characters>
  <Application>Microsoft Office Word</Application>
  <DocSecurity>0</DocSecurity>
  <Lines>697</Lines>
  <Paragraphs>195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Ela</cp:lastModifiedBy>
  <cp:revision>8</cp:revision>
  <cp:lastPrinted>2020-05-28T09:44:00Z</cp:lastPrinted>
  <dcterms:created xsi:type="dcterms:W3CDTF">2020-05-27T12:30:00Z</dcterms:created>
  <dcterms:modified xsi:type="dcterms:W3CDTF">2020-05-29T10:04:00Z</dcterms:modified>
</cp:coreProperties>
</file>