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5C8" w:rsidRPr="00471307" w:rsidRDefault="00BC55C8" w:rsidP="00BC55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  Nr  XXIV/179/2021</w:t>
      </w:r>
    </w:p>
    <w:p w:rsidR="00BC55C8" w:rsidRPr="00471307" w:rsidRDefault="00BC55C8" w:rsidP="00BC55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>Rady Gminy Młynarze</w:t>
      </w:r>
    </w:p>
    <w:p w:rsidR="00BC55C8" w:rsidRPr="00471307" w:rsidRDefault="00BC55C8" w:rsidP="00BC55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>z dnia 23 grudnia 2021  roku</w:t>
      </w:r>
    </w:p>
    <w:p w:rsidR="00BC55C8" w:rsidRPr="00471307" w:rsidRDefault="00BC55C8" w:rsidP="00BC55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>w sprawie  wysokości ekwiwalentu pieniężnego dla Członka Ochotniczej Straży Pożarnej</w:t>
      </w: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ab/>
        <w:t>Na podstawie art. 28 ust. 1 i 2 ustawy z dnia 24 sierpnia 1991 roku o ochronie przeciwpożarowej  (Dz. U z 2021 r ,poz. 869  ), uchwala się co następuje:</w:t>
      </w: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  <w:t>§  1.</w:t>
      </w: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>1. Wysokość ekwiwalentu pieniężnego  wypłaconego z budżetu Gminy dla Członka Ochotniczej Straży Pożarnej, który uczestniczył w działaniu ratowniczym  organizowanym przez  Państwową Straż Pożarną lub Gminę ustala się w wysokości  15,00 zł (słownie:  piętnaście  złotych 00/100) za każdą godzinę  udziału w działaniu ratowniczym.</w:t>
      </w:r>
    </w:p>
    <w:p w:rsidR="00BC55C8" w:rsidRPr="00471307" w:rsidRDefault="00BC55C8" w:rsidP="00BC5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>2. Wysokość ekwiwalentu pieniężnego  wypłaconego z budżetu Gminy dla Członka Ochotniczej Straży Pożarnej, który uczestniczył w  szkoleniu pożarniczym organizowanym przez  Państwową Straż Pożarną lub Gminę ustala się w wysokości  7,50 zł (słownie:  siedem złotych 50/100 ) za każdą godzinę  udziału w szkoleniu pożarniczym.</w:t>
      </w: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  <w:t>§  2.</w:t>
      </w: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>Traci moc Uchwała  Nr IV/23/2015  Rady Gminy Młynarze z dnia  30 stycznia 2015 roku                  w sprawie  wysokości ekwiwalentu pieniężnego dla Członka Ochotniczej Straży Pożarnej.</w:t>
      </w: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  <w:t>§  3.</w:t>
      </w: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  <w:t>§  4.</w:t>
      </w:r>
    </w:p>
    <w:p w:rsidR="00BC55C8" w:rsidRPr="00471307" w:rsidRDefault="00BC55C8" w:rsidP="00BC55C8">
      <w:pPr>
        <w:tabs>
          <w:tab w:val="left" w:pos="66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ab/>
      </w: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>Uchwała wchodzi w życie z dniem 01  stycznia 2022  roku.</w:t>
      </w: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BC55C8" w:rsidRPr="00471307" w:rsidRDefault="00BC55C8" w:rsidP="00BC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</w:r>
      <w:r w:rsidRPr="00471307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BC55C8" w:rsidRPr="00471307" w:rsidRDefault="00BC55C8" w:rsidP="00BC55C8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/-/</w:t>
      </w:r>
      <w:r w:rsidRPr="00471307">
        <w:rPr>
          <w:rFonts w:ascii="Times New Roman" w:hAnsi="Times New Roman" w:cs="Times New Roman"/>
          <w:sz w:val="24"/>
          <w:szCs w:val="24"/>
        </w:rPr>
        <w:t xml:space="preserve">Łukasz Suski  </w:t>
      </w:r>
    </w:p>
    <w:p w:rsidR="00BC55C8" w:rsidRDefault="00BC55C8" w:rsidP="00BC55C8">
      <w:pPr>
        <w:pStyle w:val="Standard"/>
        <w:rPr>
          <w:rFonts w:cs="Times New Roman"/>
          <w:sz w:val="28"/>
          <w:szCs w:val="28"/>
        </w:rPr>
      </w:pPr>
    </w:p>
    <w:p w:rsidR="00B9379D" w:rsidRDefault="00B9379D"/>
    <w:sectPr w:rsidR="00B9379D" w:rsidSect="00B937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C55C8"/>
    <w:rsid w:val="00B9379D"/>
    <w:rsid w:val="00BC5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5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C55C8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2021-12-27T12:15:00Z</dcterms:created>
  <dcterms:modified xsi:type="dcterms:W3CDTF">2021-12-27T12:15:00Z</dcterms:modified>
</cp:coreProperties>
</file>