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7C6" w:rsidRDefault="00E917C6" w:rsidP="00E9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917C6" w:rsidRDefault="00E917C6" w:rsidP="00E9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917C6" w:rsidRDefault="00E917C6" w:rsidP="00E9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917C6" w:rsidRDefault="00E917C6" w:rsidP="00E917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917C6" w:rsidRPr="00E917C6" w:rsidRDefault="00E917C6" w:rsidP="00E917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E917C6">
        <w:rPr>
          <w:rFonts w:ascii="Times New Roman" w:hAnsi="Times New Roman" w:cs="Times New Roman"/>
          <w:sz w:val="24"/>
          <w:szCs w:val="24"/>
          <w:lang w:val="pl-PL"/>
        </w:rPr>
        <w:t>Uchwała w sprawie planu dofinansowania form doskonalenia zawodowego nauczycieli, ustalenia maksymalnej kwoty dofinansowania opłat za kształcenie nauczycieli oraz form i specjalności kształcenia, na które w roku 2022 dofinansowanie jest przyznawane,</w:t>
      </w:r>
    </w:p>
    <w:p w:rsidR="00E917C6" w:rsidRPr="00E917C6" w:rsidRDefault="00E917C6" w:rsidP="00E91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917C6">
        <w:rPr>
          <w:rFonts w:ascii="Times New Roman" w:hAnsi="Times New Roman" w:cs="Times New Roman"/>
          <w:sz w:val="24"/>
          <w:szCs w:val="24"/>
          <w:lang w:val="pl-PL"/>
        </w:rPr>
        <w:t>f) uchwalenia wieloletniego programu gospodarowania mieszkaniowym zasobem Gminy Młynarze na lata 2022-2027</w:t>
      </w:r>
    </w:p>
    <w:p w:rsidR="00E917C6" w:rsidRDefault="00E917C6" w:rsidP="00E917C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917C6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917C6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917C6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917C6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7C6" w:rsidRDefault="00E917C6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917C6" w:rsidRDefault="00E917C6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917C6" w:rsidRDefault="00E917C6" w:rsidP="00E917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917C6" w:rsidRDefault="00E917C6" w:rsidP="00E917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E917C6" w:rsidRDefault="00E917C6" w:rsidP="00E917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917C6" w:rsidRDefault="00E917C6" w:rsidP="00E917C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F2104" w:rsidRDefault="001F2104" w:rsidP="00E917C6">
      <w:pPr>
        <w:ind w:firstLine="0"/>
      </w:pPr>
    </w:p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17C6"/>
    <w:rsid w:val="001F2104"/>
    <w:rsid w:val="00E91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7C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917C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2022-03-23T11:40:00Z</dcterms:created>
  <dcterms:modified xsi:type="dcterms:W3CDTF">2022-03-23T11:43:00Z</dcterms:modified>
</cp:coreProperties>
</file>