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Kierownik Jednostki Samorządu Terytorialnego (dalej JST) - w rozumieniu art. 33 ust. 3 Ustawy z dnia 8 marca 1990 r. o samorządzie gminnym  (tj. Dz. U. z 2022 r. poz. 559 , 583)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Dane Podmiotu wnoszącego petycję znajdują się poniżej oraz w załączonym pliku sygnowanym kwalifikowanym podpisem elektronicznym - stosownie do dyspozycji Ustawy z dnia 5 września 2016 r. o usługach zaufania oraz identyfikacji elektronicznej (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t.j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Dz. U. z 2019 r. poz. 162, 1590)  oraz przepisów art. 4 ust. 5 Ustawy o petycjach ( tj. Dz.U. 2018 poz. 870) 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Data dostarczenia  zgodna z dyspozycją art. 61 pkt. 2 Ustawy Kodeks Cywilny (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t.j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Dz. U. z 2020 r. poz. 1740)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Adresatem Wniosku/Petycji* - jest Organ  ujawniony w komparycji - jednoznacznie identyfikowalny  za pośrednictwem adresu e-mail pod którym odebrano niniejszy wniosek/petycję. Rzeczony adres e-mail uzyskano z Biuletynu Informacji Publicznej Urzędu.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 razie wątpliwości co do trybu jaki należy zastosować do naszego pisma - wnosimy o bezwzględne zastosowanie dyspozycji art. 222 Ustawy z dnia 14 czerwca 1960 r. Kodeks postępowania administracyjnego (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t.j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Dz. U. z 2021 r. poz. 735 , 2052)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Preambuła Wniosku/Petycji*: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Ustawa o efektywności energetycznej ( 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t.j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Dz. U. z 2021 r. poz. 468), nakłada na Decydentów z Jednostek Sektora Administracji Publicznej - permanentne wdrażanie “środków poprawy efektywności energetycznej” - scilicet art. 6 tejże ustawy, precyzuje katalog obligatoryjnych takich działań, 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inter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alia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: realizacja i finansowanie przedsięwzięcia służącego poprawie efektywności energetycznej, nabycie urządzenia, instalacji lub pojazdu, charakteryzujących się niskim zużyciem energii, etc  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Tymczasem kiedy pytaliśmy dwa lata temu Dyrektorów Szkół na terenie kraju - miejscowo właściwych dla danej gminy - o to jaki wdrożyli środek poprawy efektywności energetycznej w ostatnich latach  i gdzie zgodnie z art. 6 ust. 3 tejże ustawy - na swojej stronie Internetowej - Dyrektor informuje o “stosowanych środkach poprawy efektywności energetycznej”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Gros odpowiedzi brzmiało - "nie stosował, nie publikował, etc…” - 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sci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!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Dlatego biorąc pod uwagę powyższe, oraz uzasadniony społecznie - interes pro publico bono, wnosimy: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Osnowa Wniosku: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§1) Na mocy art. 61 Konstytucji RP, w trybie art. 6 ust. 1 pkt. 1 lit c oraz art. 6 ust. 1 pkt. 2 lit. c Ustawy z dnia 6 września o dostępie do informacji publicznej (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t.j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Dz. U. z 2020 r.) gdzie Gmina opublikowała informację o stosowanych środkach poprawy efektywności energetycznej - zgodnie z obowiązkiem określonym w art. 6 ust. 3  Ustawy z dnia 15 kwietnia 2011 r. o efektywności energetycznej ( 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t.j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Dz. U. z 2021 r)  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§1.2) Na mocy art. 61 Konstytucji RP, w trybie art. 6 ust. 1 pkt. 1 lit c oraz art. 6 ust. 1 pkt. 2 lit. c Ustawy z dnia 6 września o dostępie do informacji publicznej (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t.j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Dz. U. z 2020 r.) </w:t>
      </w:r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wnosimy o udzielenie informacji publicznej w przedmiocie dołączenia do udzielonej odpowiedzi odnośnych skanów źródłowych dokumentów księgowych (faktur VAT) za ostatni okres rozliczeniowy - z których wynikać będą koszty jakie poniosła Gmina w zakresie zakupu i dystrybucji energii elektrycznej.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§1.3) Na mocy art. 61 Konstytucji RP, w trybie art. 6 ust. 1 pkt 2 lit. d i pkt. 3   wzmiankowanej Ustawy o dostępie do informacji publicznej (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t.j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Dz. U. z 2020 r. poz. 2176) wnosimy o podanie danych kontaktowych Urzędnika (Wydziału lub Spółki Komunalnej), </w:t>
      </w:r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który w zakresie powierzonych mu zadań i wykonywanych kompetencji nadzoruje sprawy związane coroczną poprawą efektywności energetycznej  - sensu largo   - scilicet:  (Imię i nazwisko, adres do korespondencji e-mail, tel. i stanowisko służbowe Urzędnika)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§1.4) Na mocy wzmiankowanych powyżej przepisów, art. 61 Konstytucji RP, w trybie art. 6 ust. 1 pkt 2 lit. b i f i pkt. 3   wzmiankowanej Ustawy o dostępie do informacji publicznej (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t.j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Dz. U. z 2020 r. poz. 2176) wnosimy o udzielenie informacji publicznej -</w:t>
      </w:r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 kto jest   właścicielem instalacji gazowej </w:t>
      </w:r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lastRenderedPageBreak/>
        <w:t>właściwej miejscowo dla terenu gminy? (w tym przypadku wnioskodawca ma na myśli nazwę odnośnego Podmiotu/firmy/etc)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Rzeczone  pytanie wnioskodawca uznaje za niezwykle ważkie, w kontekście obecnej sytuacji społeczno gospodarczej.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Zdaniem Wnioskodawcy - właścicielem wzmiankowanej wyżej instalacji powinien być bezwzględnie podmiot realizujący zadania publiczne, działający zgodnie z   państwową strategią bezpieczeństwa energetycznego - najlepiej - Podmiot z udziałem </w:t>
      </w:r>
      <w:proofErr w:type="spellStart"/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właśności</w:t>
      </w:r>
      <w:proofErr w:type="spellEnd"/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skarbu państwa, etc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Jak ważka jest to tematyka wynika chociażby z ostatnich problemów w Gminie Ustka, Mrozy czy Cegłów - gdzie empiria pokazała jak istotne i brzemienne w skutkach są odnośne decyzje i zagadnienia z punktu widzenia uzasadnionego interesu pro publico bono.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§1.5) Na mocy wzmiankowanych powyżej przepisów, art. 61 Konstytucji RP, w trybie art. 6 ust. 1 pkt 2 lit. c   wzmiankowanej Ustawy o dostępie do informacji publicznej (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t.j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Dz. U. z 2020 r. poz. 2176) wnosimy o udzielenie informacji publicznej - </w:t>
      </w:r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czy  Gmina korzystała/a z modelu Grupy Zakupowej w ramach dokonywanych zakupów energii elektrycznej?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Petycja odrębna: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§2) Na mocy art. 63 Konstytucji RP w związku z art 2 pkt 1, 2 i 3 Ustawy z dnia 11 lipca 2014 r. o petycjach ( tj. Dz.U. 2018 poz. 870) w związku z art. 241 Kodeksu postępowania administracyjnego (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t.j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Dz. U. z 2021 r. poz. 735 , 2052) , wnosimy petycję do Kierownika JST o to aby jednym ze środków poprawy efektywności energetycznej wdrożonym przez Gminę w 2022 r. była optymalizacja wydatków związanych kosztami zakupu  energii elektrycznej oraz ewentualna sanacja stanu faktycznego i długofalowe planowanie związane z zagadnieniami poruszanymi przez wnioskodawcę </w:t>
      </w:r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w §1.4 niniejszego wniosku.</w:t>
      </w: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Zdaniem wnoszącego - niniejsze pismo należy go procedować dwutorowo w trybie ustawy o petycjach i ustawy o dostępie do inf. publicznej  - dla zmniejszenia marnotrawstwa papieru i procedur biurokratycznych wniosek i petycję przesyłamy 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en-bloc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- w jednym piśmie. 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Nie jest to łączenie trybów - zatem prosimy kwalifikować niniejsze pisma jako dwa środki prawne - wniosek  i odrębną petycję   - vide -  J. Borkowski (w:) B. Adamiak, J. Borkowski, Kodeks postępowania…, s. 668; por. także art. 12 ust. 1 komentowanej ustawy - dostępne w sieci Internet. 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 razie wątpliwości co do trybu jaki należy zastosować do naszego pisma - wnosimy o bezwzględne zastosowanie dyspozycji art. 222 Ustawy z dnia 14 czerwca 1960 r. Kodeks postępowania administracyjnego ( 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t.j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Dz. U. z 2020 r. poz. 256, 695)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Korespondując z brzmieniem art. 3 ust. 1 pkt. 1 Ustawy z dnia 6 września o dostępie do informacji publicznej (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t.j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Dz. U. z 2020 r.) - zdaniem wnioskodawcy - dane te powinny być ad hoc dostępne w Urzędzie, przekazanie ich kopii (skanu) nie wymaga działań związanych z długotrwałym ich przetwarzaniem i dane te   wydają się szczególnie istotne z punktu widzenia interesu publicznego pro publico bono - nawiązując osnowy powyższego wniosku.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§3) Aby zachować pełną jawność i transparentność działań - wnosimy o opublikowanie treści wniosku  na stronie internetowej podmiotu rozpatrującego petycję lub urzędu go obsługującego (Adresata) W tym przypadku prośba jest fakultatywna gdyż - obowiązek taki istnieje jedynie w przypadku petycji. Chcemy działać w pełni jawnie i transparentnie, mamy nadzieję, że Urząd również. 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§4) Wnosimy o zwrotne potwierdzenie otrzymania niniejszego wniosku w trybie §7 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Rozporządzenia Prezesa Rady Ministrów z dnia 8 stycznia 2002 r. w sprawie organizacji przyjmowania i rozpatrywania s. i wniosków. (Dz. U. z dnia 22 styczna 2002 r. Nr 5, poz. 46) -  </w:t>
      </w:r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na zwrotny -</w:t>
      </w: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adres e-mail: </w:t>
      </w:r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poprawa.efektywnosci.energetycznej@samorzad.pl </w:t>
      </w: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§5) Wnosimy o to, aby odpowiedź w  przedmiocie powyższych pytań i petycji złożonych na mocy art. 63 Konstytucji RP - w związku z art.  241 KPA, została udzielona - </w:t>
      </w:r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zwrotnie </w:t>
      </w: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na adres e-mail poprawa.efektywnosci.energetycznej@samorzad.pl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lastRenderedPageBreak/>
        <w:t>§6) Wniosek został sygnowany bezpiecznym, kwalifikowanym podpisem elektronicznym - stosownie do wytycznych Ustawy z dnia 5 września 2016 r. o usługach zaufania oraz identyfikacji elektronicznej (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t.j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Dz. U. z 2019 r. poz. 162, 1590)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Współwnioskodawca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: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Osoba Prawna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Szulc-Efekt sp. z o. o.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Prezes Zarządu - Adam Szulc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ul. Poligonowa 1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04-051 Warszawa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nr KRS: 0000059459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Kapitał Zakładowy: 222.000,00 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pln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www.gmina.pl    www.samorzad.pl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Komentarz do Wniosku: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Adresat jest jednoznacznie identyfikowany - na podstawie - unikalnego adresu e-mail opublikowanego w Biuletynie Informacji Publicznej Jednostki i przypisanego do odnośnego Organu.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Rzeczony adres e-mail - zgodnie z dyspozycją art. 1 i 8 ustawy o dostępie do informacji publicznej - stanowiąc informację pewną i potwierdzoną - jednoznacznie oznacza adresata petycji/wniosku. (Oznaczenie adresata petycji/wniosku)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Pomimo, iż w rzeczonym wniosku powołujemy się na art. 241 Ustawy z dnia 14 czerwca 1960 r. Kodeks postępowania administracyjnego (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t.j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Dz. U. z 2021 r. poz. 735 , 2052)   -  w naszym mniemaniu - nie oznacza to, że Urząd powinien rozpatrywać niniejsze wnioski w trybie KPA 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 opinii Wnioskodawcy Urząd powinien w zależności od dokonanej interpretacji treści pisma  - procedować nasze wnioski  -  w trybie Ustawy o petycjach (Dz.U.2014.1195 z dnia 2014.09.05)  lub odpowiednio Ustawy o dostępie do informacji publicznej (wynika to zazwyczaj z jego treści i powołanych podstaw prawnych).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Zatem - wg. Wnioskodawcy niniejszy wniosek może być jedynie fakultatywnie rozpatrywany - jako optymalizacyjny w związku z art. 241 KPA.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 naszych wnioskach/petycjach  często powołujemy sie na  wzmiankowany art. 241 KPA - scilicet: "Przedmiotem wniosku mogą być w szczególności sprawy ulepszenia organizacji, wzmocnienia praworządności, usprawnienia pracy i zapobiegania nadużyciom, ochrony własności, lepszego zaspokajania potrzeb ludności.” - w sensie możliwości otwarcia procedury sanacyjnej.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Każdy Podmiot mający styczność z Urzędem - ma prawo i obowiązek - usprawniać struktury administracji samorządowej i każdy Podmiot bez wyjątku ma obowiązek walczyć o lepszą przyszłość dla Polski.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Zatem pomimo formy zewnętrznej - Decydenci mogą/powinni dokonać własnej interpretacji  - zgodnie z brzmieniem art. 222 KPA.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Nazwa Wnioskodawca/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Petycjodawca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- jest dla uproszczenia stosowna jako synonim nazwy “Podmiot Wnoszący Petycję” - w rozumieniu art. 4 ust. 4 Ustawy o petycjach (Dz.U.2014.1195 z dnia 2014.09.05)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Pozwalamy sobie również przypomnieć, że  ipso iure art. 2 ust. 2 Ustawy o dostępie do informacji publicznej “ (…) Od osoby wykonującej prawo do informacji publicznej nie wolno żądać wykazania interesu prawnego lub faktycznego.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Wnioskodawca   - pro forma podpisał - niniejszy wniosek -  bezpiecznym kwalifikowanym podpisem elektronicznym  (w załączeniu stosowne pliki) - choć według aktualnego orzecznictwa brak podpisu elektronicznego nie powoduje bezprzedmiotowości wniosku, stosownie do orzeczenia: Naczelnego Sądu Administracyjnego w Warszawie I OSK 1277/08.  Podkreślamy jednocześnie, iż przedmiotowy wniosek traktujemy jako próbę usprawnienia organizacji działania Jednostek Administracji Publicznej  - w celu lepszego zaspokajania potrzeb ludności. Do wniosku dołączono plik podpisany bezpiecznym kwalifikowanym podpisem elektronicznym, zawiera on taką samą treść, jak ta która znajduje się w niniejszej wiadomości e-mail.  Weryfikacja podpisu i odczytanie pliku wymaga posiadania oprogramowania, które bez ponoszenia opłat, można uzyskać na stronach WWW podmiotów - zgodnie z ustawą, świadczących usługi certyfikacyjne.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lastRenderedPageBreak/>
        <w:t>Celem naszych wniosków jest - sensu largo - usprawnienie, naprawa - na miarę istniejących możliwości - funkcjonowania struktur Administracji Publicznej - głownie w Gminach/Miastach  - gdzie jak wynika z naszych wniosków - stan faktyczny wymaga wszczęcia procedur sanacyjnych.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W Jednostkach Pionu Administracji Rządowej - stan faktyczny jest o wiele lepszy.</w:t>
      </w: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Zwracamy uwagę, że Ustawodawca do tego stopnia stara się - poszerzyć spektrum możliwości porównywania cen i wyboru różnych opcji rynkowych oraz przeciwdziałać korupcji w Administracji Publicznej - że nakazał w §6 ust. 2 pkt. 2 załącznika nr 1 do Rozporządzenia Prezesa Rady Ministrów z dnia 18 stycznia 2011 r. w sprawie instrukcji kancelaryjnej, (…) (Dz. U. z dnia 20 stycznia 2011 r.) -  archiwizowanie, również wszystkich niezamówionych ofert, a co dopiero petycji i wniosków optymalizacyjnych. Cieszy nas ten fakt niemiernie, przyczyni się z pewnością do większej rozwagi w wydatkowaniu środków publicznych.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Duża ilość powoływanych przepisów prawa w przedmiotowym wniosku, wiąże się z tym, że chcemy uniknąć wyjaśniania intencji i podstaw prawnych w rozmowach telefonicznych - co rzadko, ale jednak, ciągle ma miejsce w przypadku nielicznych JST.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Jeżeli JST nie zgada się z powołanymi przepisami prawa, prosimy aby zastosowano podstawy prawne akceptowane przez JST.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Dobro Petenta i jawność życia publicznego jest naszym nadrzędnym celem, dlatego staramy się również upowszechniać zapisy Ustawowe dotyczące Wnioskowania. Kwestie te Ustawodawca podkreślił i uregulował w art. 63 Konstytucji RP: "Każdy ma prawo składać petycje, wnioski i skargi w interesie publicznym, własnym lub innej osoby za jej zgodą do organów władzy publicznej oraz do organizacji i instytucji społecznych w związku z wykonywanymi przez nie zadaniami zleconymi z zakresu administracji publicznej." oraz w art. 54 ust. 1 Konstytucji RP "Każdemu zapewnia się wolność wyrażania swoich poglądów oraz pozyskiwania i rozpowszechniania informacji."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Pamiętajmy również o przepisach zawartych 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inter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alia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: w art. 225 KPA: </w:t>
      </w:r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"§ 1. Nikt nie może być narażony na jakikolwiek uszczerbek lub zarzut z powodu złożenia skargi lub wniosku albo z powodu dostarczenia materiału do publikacji o znamionach skargi lub wniosku, jeżeli działał w granicach prawem dozwolonych. § 2. Organy państwowe, organy jednostek samorządu terytorialnego i inne organy samorządowe oraz organy organizacji społecznych są obowiązane przeciwdziałać hamowaniu krytyki i innym działaniom ograniczającym prawo do składania skarg i wniosków lub dostarczania informacji - do publikacji - o znamionach skargi lub wniosku."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Eksperci NIK piszą: "Niewielka liczba składanych wniosków o udzielenie informacji publicznej, liczba skarg złożonych do WSA, jak również liczba pozwów złożonych do sądów rejonowych, świadczyć może o braku zainteresowania w egzekwowaniu powszechnego prawa do informacji publicznej. Z drugiej strony, realizację tego prawa utrudniają podmioty zobowiązane do pełnej przejrzystości swojego działania, poprzez nieudostępnianie wymaganej informacji publicznej" [Protokół pokontrolny dostępny w sieci Internet: LBY-4101-09/2010]. Mamy nadzieję, zmienić powyższą ocenę, być może nasz wniosek choć w niewielkim stopniu – przyczyni się do zwiększenia tych wskaźników.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Postulujemy, ABY NASZA PETYCJA NIE BYŁA W ŻADNYM RAZIE ŁĄCZONA Z PÓŹNIEJSZYM jakimkolwiek trybem zamówienia  nie musimy dodawać, że mamy nadzieję, iż wszelkie postępowania będą  prowadzone z uwzględnieniem zasad uczciwej konkurencji - i o wyborze oferenta będą decydować jedynie ustalone przez decydentów kryteria związane 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inter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alia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z parametrami ofert oraz ceną.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Oczywiście - wszelkie ewentualne postępowania - ogłoszone przez Jednostkę Administracji Publicznej - będące następstwem niniejszego wniosku - należy przeprowadzić zgodnie z rygorystycznymi zasadami wydatkowania środków publicznych -  z uwzględnieniem stosowania zasad uczciwej konkurencji, przejrzystości i transparentności -  zatem w pełni lege artis.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Ponownie sygnalizujemy, że do wniosku dołączono plik podpisany bezpiecznym kwalifikowanym podpisem elektronicznym.  Weryfikacja podpisu i odczytanie pliku wymaga posiadania oprogramowania, które bez ponoszenia opłat, można uzyskać na stronach WWW podmiotów - zgodnie z ustawą, świadczących usługi certyfikacyjne. </w:t>
      </w: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92BD1" w:rsidRPr="00C92BD1" w:rsidRDefault="00C92BD1" w:rsidP="00C92BD1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2BD1" w:rsidRPr="00C92BD1" w:rsidRDefault="00C92BD1" w:rsidP="00C92BD1">
      <w:pPr>
        <w:jc w:val="both"/>
        <w:rPr>
          <w:sz w:val="20"/>
          <w:szCs w:val="20"/>
        </w:rPr>
      </w:pPr>
    </w:p>
    <w:sectPr w:rsidR="00C92BD1" w:rsidRPr="00C92BD1" w:rsidSect="00C32E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C92BD1"/>
    <w:rsid w:val="004321B3"/>
    <w:rsid w:val="00464AF5"/>
    <w:rsid w:val="00C32E42"/>
    <w:rsid w:val="00C92BD1"/>
    <w:rsid w:val="00FF0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2E4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C92B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0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0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3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6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2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4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8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2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4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2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1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5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9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9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6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7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7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5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1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3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46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6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81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27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9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53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28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01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9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9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9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9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32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00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9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04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43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3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9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49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95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2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66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1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16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2253</Words>
  <Characters>13521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Szulc</dc:creator>
  <cp:lastModifiedBy>Ela</cp:lastModifiedBy>
  <cp:revision>2</cp:revision>
  <cp:lastPrinted>2022-05-04T12:11:00Z</cp:lastPrinted>
  <dcterms:created xsi:type="dcterms:W3CDTF">2022-05-04T12:11:00Z</dcterms:created>
  <dcterms:modified xsi:type="dcterms:W3CDTF">2022-05-04T12:11:00Z</dcterms:modified>
</cp:coreProperties>
</file>